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83"/>
        <w:gridCol w:w="1701"/>
        <w:gridCol w:w="3481"/>
        <w:gridCol w:w="3686"/>
      </w:tblGrid>
      <w:tr w:rsidR="00873550" w:rsidRPr="00873550" w:rsidTr="00873550">
        <w:tc>
          <w:tcPr>
            <w:tcW w:w="483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Section in investment policy statement</w:t>
            </w:r>
          </w:p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Questions to prompt discussion</w:t>
            </w:r>
            <w:bookmarkStart w:id="0" w:name="_GoBack"/>
            <w:bookmarkEnd w:id="0"/>
          </w:p>
        </w:tc>
        <w:tc>
          <w:tcPr>
            <w:tcW w:w="3686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Content to cover in investment policy statement</w:t>
            </w: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Opening section</w:t>
            </w:r>
          </w:p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 xml:space="preserve">Taking stock of what </w:t>
            </w:r>
            <w:r>
              <w:rPr>
                <w:rFonts w:ascii="Arial" w:hAnsi="Arial" w:cs="Arial"/>
              </w:rPr>
              <w:t>the charity is</w:t>
            </w:r>
            <w:r w:rsidRPr="00B81CEC">
              <w:rPr>
                <w:rFonts w:ascii="Arial" w:hAnsi="Arial" w:cs="Arial"/>
              </w:rPr>
              <w:t xml:space="preserve"> here to do, </w:t>
            </w:r>
            <w:proofErr w:type="gramStart"/>
            <w:r w:rsidRPr="00B81CEC">
              <w:rPr>
                <w:rFonts w:ascii="Arial" w:hAnsi="Arial" w:cs="Arial"/>
              </w:rPr>
              <w:t>what’s</w:t>
            </w:r>
            <w:proofErr w:type="gramEnd"/>
            <w:r w:rsidRPr="00B81CEC">
              <w:rPr>
                <w:rFonts w:ascii="Arial" w:hAnsi="Arial" w:cs="Arial"/>
              </w:rPr>
              <w:t xml:space="preserve"> our strategy and what’s going on which might affect the charity and our beneficiaries?</w:t>
            </w:r>
          </w:p>
        </w:tc>
        <w:tc>
          <w:tcPr>
            <w:tcW w:w="3686" w:type="dxa"/>
          </w:tcPr>
          <w:p w:rsidR="00873550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Background on the charity, its purposes, current strategic objectives, ext</w:t>
            </w:r>
            <w:r>
              <w:rPr>
                <w:rFonts w:ascii="Arial" w:hAnsi="Arial" w:cs="Arial"/>
              </w:rPr>
              <w:t xml:space="preserve">ernal environment and context, </w:t>
            </w:r>
            <w:r w:rsidRPr="00B81CEC">
              <w:rPr>
                <w:rFonts w:ascii="Arial" w:hAnsi="Arial" w:cs="Arial"/>
              </w:rPr>
              <w:t>and how the investments fit into these</w:t>
            </w:r>
            <w:r>
              <w:rPr>
                <w:rFonts w:ascii="Arial" w:hAnsi="Arial" w:cs="Arial"/>
              </w:rPr>
              <w:t>.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Contact information</w:t>
            </w:r>
          </w:p>
        </w:tc>
        <w:tc>
          <w:tcPr>
            <w:tcW w:w="3481" w:type="dxa"/>
          </w:tcPr>
          <w:p w:rsidR="00873550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 xml:space="preserve">Are the </w:t>
            </w:r>
            <w:r>
              <w:rPr>
                <w:rFonts w:ascii="Arial" w:hAnsi="Arial" w:cs="Arial"/>
              </w:rPr>
              <w:t>charity trustee</w:t>
            </w:r>
            <w:r w:rsidRPr="00B81CEC">
              <w:rPr>
                <w:rFonts w:ascii="Arial" w:hAnsi="Arial" w:cs="Arial"/>
              </w:rPr>
              <w:t>s going to sign a letter of authority/board minute naming key persons for liaison with external parties?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Charity name, key contact and registration information for the charity</w:t>
            </w:r>
            <w:r>
              <w:rPr>
                <w:rFonts w:ascii="Arial" w:hAnsi="Arial" w:cs="Arial"/>
              </w:rPr>
              <w:t>.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Value and other assets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much are we investing? </w:t>
            </w:r>
            <w:r w:rsidRPr="00B81CEC">
              <w:rPr>
                <w:rFonts w:ascii="Arial" w:hAnsi="Arial" w:cs="Arial"/>
              </w:rPr>
              <w:t>What other assets do we have and how do the investments fit into that bigger picture?</w:t>
            </w: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 xml:space="preserve">The value of the charity’s investments, or the amount to </w:t>
            </w:r>
            <w:proofErr w:type="gramStart"/>
            <w:r w:rsidRPr="00B81CEC">
              <w:rPr>
                <w:rFonts w:ascii="Arial" w:hAnsi="Arial" w:cs="Arial"/>
              </w:rPr>
              <w:t>be inve</w:t>
            </w:r>
            <w:r>
              <w:rPr>
                <w:rFonts w:ascii="Arial" w:hAnsi="Arial" w:cs="Arial"/>
              </w:rPr>
              <w:t>sted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B81CEC">
              <w:rPr>
                <w:rFonts w:ascii="Arial" w:hAnsi="Arial" w:cs="Arial"/>
              </w:rPr>
              <w:t xml:space="preserve"> </w:t>
            </w:r>
            <w:proofErr w:type="gramStart"/>
            <w:r w:rsidRPr="00B81CEC">
              <w:rPr>
                <w:rFonts w:ascii="Arial" w:hAnsi="Arial" w:cs="Arial"/>
              </w:rPr>
              <w:t>Also</w:t>
            </w:r>
            <w:proofErr w:type="gramEnd"/>
            <w:r w:rsidRPr="00B81CEC">
              <w:rPr>
                <w:rFonts w:ascii="Arial" w:hAnsi="Arial" w:cs="Arial"/>
              </w:rPr>
              <w:t xml:space="preserve"> mention the other assets owned by the charity, to set the context for how the investments fit into these.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Goals and objectives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 xml:space="preserve">What financial return do we need from our investments, to support our charitable activities?  </w:t>
            </w: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7F7845">
              <w:rPr>
                <w:rFonts w:ascii="Arial" w:hAnsi="Arial" w:cs="Arial"/>
              </w:rPr>
              <w:t>Specify</w:t>
            </w:r>
            <w:r>
              <w:rPr>
                <w:rFonts w:ascii="Arial" w:hAnsi="Arial" w:cs="Arial"/>
              </w:rPr>
              <w:t xml:space="preserve"> a</w:t>
            </w:r>
            <w:r w:rsidRPr="00B81CEC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y</w:t>
            </w:r>
            <w:r w:rsidRPr="00B81C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target for investment income and/or </w:t>
            </w:r>
            <w:r w:rsidRPr="00B81CEC">
              <w:rPr>
                <w:rFonts w:ascii="Arial" w:hAnsi="Arial" w:cs="Arial"/>
              </w:rPr>
              <w:t>target for</w:t>
            </w:r>
            <w:r w:rsidRPr="00507CDE">
              <w:rPr>
                <w:rFonts w:ascii="Arial" w:hAnsi="Arial" w:cs="Arial"/>
                <w:color w:val="7030A0"/>
              </w:rPr>
              <w:t xml:space="preserve"> </w:t>
            </w:r>
            <w:hyperlink w:anchor="Nine" w:history="1">
              <w:r w:rsidRPr="00507CDE">
                <w:rPr>
                  <w:rStyle w:val="Hyperlink"/>
                  <w:rFonts w:ascii="Arial" w:hAnsi="Arial" w:cs="Arial"/>
                  <w:color w:val="7030A0"/>
                </w:rPr>
                <w:t>capital growth</w:t>
              </w:r>
            </w:hyperlink>
            <w:r>
              <w:rPr>
                <w:rFonts w:ascii="Arial" w:hAnsi="Arial" w:cs="Arial"/>
              </w:rPr>
              <w:t>.</w:t>
            </w:r>
            <w:r w:rsidRPr="00B81CEC">
              <w:rPr>
                <w:rFonts w:ascii="Arial" w:hAnsi="Arial" w:cs="Arial"/>
              </w:rPr>
              <w:t xml:space="preserve"> </w:t>
            </w:r>
          </w:p>
        </w:tc>
      </w:tr>
      <w:tr w:rsidR="00873550" w:rsidRPr="00B81CEC" w:rsidTr="00873550">
        <w:tc>
          <w:tcPr>
            <w:tcW w:w="483" w:type="dxa"/>
          </w:tcPr>
          <w:p w:rsidR="00873550" w:rsidRPr="00A35E93" w:rsidRDefault="00873550" w:rsidP="00C53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7F784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Time horizon</w:t>
            </w:r>
          </w:p>
        </w:tc>
        <w:tc>
          <w:tcPr>
            <w:tcW w:w="3481" w:type="dxa"/>
          </w:tcPr>
          <w:p w:rsidR="00873550" w:rsidRPr="007F7845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ahead, w</w:t>
            </w:r>
            <w:r w:rsidRPr="007F7845">
              <w:rPr>
                <w:rFonts w:ascii="Arial" w:hAnsi="Arial" w:cs="Arial"/>
              </w:rPr>
              <w:t xml:space="preserve">hat is the charity’s outlook, in terms of how long it anticipates money </w:t>
            </w:r>
            <w:proofErr w:type="gramStart"/>
            <w:r w:rsidRPr="007F7845">
              <w:rPr>
                <w:rFonts w:ascii="Arial" w:hAnsi="Arial" w:cs="Arial"/>
              </w:rPr>
              <w:t>being invested</w:t>
            </w:r>
            <w:proofErr w:type="gramEnd"/>
            <w:r w:rsidRPr="007F7845">
              <w:rPr>
                <w:rFonts w:ascii="Arial" w:hAnsi="Arial" w:cs="Arial"/>
              </w:rPr>
              <w:t xml:space="preserve">?  </w:t>
            </w:r>
          </w:p>
        </w:tc>
        <w:tc>
          <w:tcPr>
            <w:tcW w:w="3686" w:type="dxa"/>
          </w:tcPr>
          <w:p w:rsidR="00873550" w:rsidRPr="007F7845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7F7845">
              <w:rPr>
                <w:rFonts w:ascii="Arial" w:hAnsi="Arial" w:cs="Arial"/>
              </w:rPr>
              <w:t>Some charities may have a plan to spend their money in a set number of years. Others may anticipate having money invested in perpetuity.</w:t>
            </w:r>
          </w:p>
          <w:p w:rsidR="00873550" w:rsidRPr="007F7845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  <w:p w:rsidR="00873550" w:rsidRPr="007F7845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7F7845">
              <w:rPr>
                <w:rFonts w:ascii="Arial" w:hAnsi="Arial" w:cs="Arial"/>
              </w:rPr>
              <w:t xml:space="preserve">There may be short, medium and </w:t>
            </w:r>
            <w:proofErr w:type="gramStart"/>
            <w:r w:rsidRPr="007F7845">
              <w:rPr>
                <w:rFonts w:ascii="Arial" w:hAnsi="Arial" w:cs="Arial"/>
              </w:rPr>
              <w:t>long term</w:t>
            </w:r>
            <w:proofErr w:type="gramEnd"/>
            <w:r w:rsidRPr="007F7845">
              <w:rPr>
                <w:rFonts w:ascii="Arial" w:hAnsi="Arial" w:cs="Arial"/>
              </w:rPr>
              <w:t xml:space="preserve"> elements here.</w:t>
            </w:r>
          </w:p>
          <w:p w:rsidR="00873550" w:rsidRPr="007F7845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Risk appetite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 xml:space="preserve">What impact will inflation have on our assets and future </w:t>
            </w:r>
            <w:r w:rsidRPr="00B81CEC">
              <w:rPr>
                <w:rFonts w:ascii="Arial" w:hAnsi="Arial" w:cs="Arial"/>
              </w:rPr>
              <w:lastRenderedPageBreak/>
              <w:t xml:space="preserve">spending power? Are we comfortable with the </w:t>
            </w:r>
            <w:proofErr w:type="gramStart"/>
            <w:r w:rsidRPr="00B81CEC">
              <w:rPr>
                <w:rFonts w:ascii="Arial" w:hAnsi="Arial" w:cs="Arial"/>
              </w:rPr>
              <w:t>ups and downs</w:t>
            </w:r>
            <w:proofErr w:type="gramEnd"/>
            <w:r w:rsidRPr="00B81CEC">
              <w:rPr>
                <w:rFonts w:ascii="Arial" w:hAnsi="Arial" w:cs="Arial"/>
              </w:rPr>
              <w:t xml:space="preserve"> of the stock</w:t>
            </w:r>
            <w:r>
              <w:rPr>
                <w:rFonts w:ascii="Arial" w:hAnsi="Arial" w:cs="Arial"/>
              </w:rPr>
              <w:t xml:space="preserve"> </w:t>
            </w:r>
            <w:r w:rsidRPr="00B81CEC">
              <w:rPr>
                <w:rFonts w:ascii="Arial" w:hAnsi="Arial" w:cs="Arial"/>
              </w:rPr>
              <w:t xml:space="preserve">market, if we already have a </w:t>
            </w:r>
            <w:hyperlink w:anchor="Nine" w:history="1">
              <w:r w:rsidRPr="00507CDE">
                <w:rPr>
                  <w:rStyle w:val="Hyperlink"/>
                  <w:rFonts w:ascii="Arial" w:hAnsi="Arial" w:cs="Arial"/>
                  <w:color w:val="7030A0"/>
                </w:rPr>
                <w:t>financial buffer</w:t>
              </w:r>
            </w:hyperlink>
            <w:r w:rsidRPr="007A6635">
              <w:rPr>
                <w:rFonts w:ascii="Arial" w:hAnsi="Arial" w:cs="Arial"/>
                <w:color w:val="2957BD" w:themeColor="accent6" w:themeShade="BF"/>
              </w:rPr>
              <w:t xml:space="preserve"> </w:t>
            </w:r>
            <w:r w:rsidRPr="00B81CEC">
              <w:rPr>
                <w:rFonts w:ascii="Arial" w:hAnsi="Arial" w:cs="Arial"/>
              </w:rPr>
              <w:t>in place?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Set out</w:t>
            </w:r>
            <w:r w:rsidRPr="00B81CEC">
              <w:rPr>
                <w:rFonts w:ascii="Arial" w:hAnsi="Arial" w:cs="Arial"/>
              </w:rPr>
              <w:t xml:space="preserve"> the charity’s capacity for </w:t>
            </w:r>
            <w:proofErr w:type="gramStart"/>
            <w:r w:rsidRPr="00B81CEC">
              <w:rPr>
                <w:rFonts w:ascii="Arial" w:hAnsi="Arial" w:cs="Arial"/>
              </w:rPr>
              <w:t>loss</w:t>
            </w:r>
            <w:r>
              <w:rPr>
                <w:rFonts w:ascii="Arial" w:hAnsi="Arial" w:cs="Arial"/>
              </w:rPr>
              <w:t xml:space="preserve"> and whether</w:t>
            </w:r>
            <w:r w:rsidRPr="00B81CEC">
              <w:rPr>
                <w:rFonts w:ascii="Arial" w:hAnsi="Arial" w:cs="Arial"/>
              </w:rPr>
              <w:t xml:space="preserve"> it </w:t>
            </w:r>
            <w:r>
              <w:rPr>
                <w:rFonts w:ascii="Arial" w:hAnsi="Arial" w:cs="Arial"/>
              </w:rPr>
              <w:t xml:space="preserve">can </w:t>
            </w:r>
            <w:r w:rsidRPr="00B81CEC">
              <w:rPr>
                <w:rFonts w:ascii="Arial" w:hAnsi="Arial" w:cs="Arial"/>
              </w:rPr>
              <w:lastRenderedPageBreak/>
              <w:t>withstand the fluctuations of the stock market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B81C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Refer to</w:t>
            </w:r>
            <w:r w:rsidRPr="00B81CEC">
              <w:rPr>
                <w:rFonts w:ascii="Arial" w:hAnsi="Arial" w:cs="Arial"/>
              </w:rPr>
              <w:t xml:space="preserve"> </w:t>
            </w:r>
            <w:proofErr w:type="gramStart"/>
            <w:r w:rsidRPr="00B81CEC">
              <w:rPr>
                <w:rFonts w:ascii="Arial" w:hAnsi="Arial" w:cs="Arial"/>
              </w:rPr>
              <w:t xml:space="preserve">the charity’s </w:t>
            </w:r>
            <w:hyperlink r:id="rId4" w:history="1">
              <w:r w:rsidRPr="004818F0">
                <w:rPr>
                  <w:rStyle w:val="Hyperlink"/>
                  <w:rFonts w:ascii="Arial" w:hAnsi="Arial" w:cs="Arial"/>
                </w:rPr>
                <w:t>reserves policy</w:t>
              </w:r>
            </w:hyperlink>
            <w:r w:rsidRPr="004818F0">
              <w:rPr>
                <w:rFonts w:ascii="Arial" w:hAnsi="Arial" w:cs="Arial"/>
              </w:rPr>
              <w:t xml:space="preserve"> and</w:t>
            </w:r>
            <w:r w:rsidRPr="00B81CEC">
              <w:rPr>
                <w:rFonts w:ascii="Arial" w:hAnsi="Arial" w:cs="Arial"/>
              </w:rPr>
              <w:t xml:space="preserve"> how this interact</w:t>
            </w:r>
            <w:r>
              <w:rPr>
                <w:rFonts w:ascii="Arial" w:hAnsi="Arial" w:cs="Arial"/>
              </w:rPr>
              <w:t>s</w:t>
            </w:r>
            <w:r w:rsidRPr="00B81CEC">
              <w:rPr>
                <w:rFonts w:ascii="Arial" w:hAnsi="Arial" w:cs="Arial"/>
              </w:rPr>
              <w:t xml:space="preserve"> with the charity’s risk appetite for its investments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Ethical criteria and alignment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>Are any sectors or organisations in conflict with our charity’s purposes</w:t>
            </w:r>
            <w:r w:rsidRPr="00B81CEC">
              <w:rPr>
                <w:rFonts w:ascii="Arial" w:hAnsi="Arial" w:cs="Arial"/>
              </w:rPr>
              <w:t xml:space="preserve"> or activities, which means we should exclude them? From a reputation perspective, what would our donors and beneficiaries expect (or not expect) of us?</w:t>
            </w:r>
            <w:r>
              <w:rPr>
                <w:rFonts w:ascii="Arial" w:hAnsi="Arial" w:cs="Arial"/>
              </w:rPr>
              <w:t xml:space="preserve"> Is positive screening relevant for us?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 xml:space="preserve">List any sectors or organisations for exclusion, in view of a conflict with the charity’s purposes or operations, or due to significant concerns about reputational risk. Positive or negative screening criteria </w:t>
            </w:r>
            <w:proofErr w:type="gramStart"/>
            <w:r w:rsidRPr="0097406E">
              <w:rPr>
                <w:rFonts w:ascii="Arial" w:hAnsi="Arial" w:cs="Arial"/>
              </w:rPr>
              <w:t>can</w:t>
            </w:r>
            <w:r>
              <w:rPr>
                <w:rFonts w:ascii="Arial" w:hAnsi="Arial" w:cs="Arial"/>
              </w:rPr>
              <w:t xml:space="preserve"> </w:t>
            </w:r>
            <w:r w:rsidRPr="0097406E">
              <w:rPr>
                <w:rFonts w:ascii="Arial" w:hAnsi="Arial" w:cs="Arial"/>
              </w:rPr>
              <w:t>be listed</w:t>
            </w:r>
            <w:proofErr w:type="gramEnd"/>
            <w:r w:rsidRPr="0097406E">
              <w:rPr>
                <w:rFonts w:ascii="Arial" w:hAnsi="Arial" w:cs="Arial"/>
              </w:rPr>
              <w:t xml:space="preserve"> here.  </w:t>
            </w:r>
          </w:p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A35E93" w:rsidRDefault="00873550" w:rsidP="00C53F16">
            <w:pPr>
              <w:spacing w:line="276" w:lineRule="auto"/>
              <w:rPr>
                <w:rFonts w:ascii="Arial" w:hAnsi="Arial" w:cs="Arial"/>
                <w:highlight w:val="yellow"/>
              </w:rPr>
            </w:pPr>
            <w:r w:rsidRPr="0097406E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ESG factors and active stewardship</w:t>
            </w:r>
          </w:p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 xml:space="preserve">What value and weight do we want our investment manager to place on ESG factors and their role in the investment process?  </w:t>
            </w:r>
          </w:p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 xml:space="preserve">What value and weight do we place on active stewardship, for our investment manager?  Is it important to us that our investment manager </w:t>
            </w:r>
            <w:proofErr w:type="gramStart"/>
            <w:r w:rsidRPr="0097406E">
              <w:rPr>
                <w:rFonts w:ascii="Arial" w:hAnsi="Arial" w:cs="Arial"/>
              </w:rPr>
              <w:t>meets</w:t>
            </w:r>
            <w:proofErr w:type="gramEnd"/>
            <w:r w:rsidRPr="0097406E">
              <w:rPr>
                <w:rFonts w:ascii="Arial" w:hAnsi="Arial" w:cs="Arial"/>
              </w:rPr>
              <w:t xml:space="preserve"> companies to influence for better outcomes?</w:t>
            </w:r>
          </w:p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86" w:type="dxa"/>
          </w:tcPr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 xml:space="preserve">State any position on ESG factors.  </w:t>
            </w:r>
          </w:p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 xml:space="preserve">State any position on active stewardship, engagement and  visibility on voting </w:t>
            </w: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Restrictions</w:t>
            </w:r>
          </w:p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481" w:type="dxa"/>
          </w:tcPr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>Are any other restrictions relevant for our</w:t>
            </w:r>
            <w:r>
              <w:rPr>
                <w:rFonts w:ascii="Arial" w:hAnsi="Arial" w:cs="Arial"/>
              </w:rPr>
              <w:t xml:space="preserve"> policy?</w:t>
            </w:r>
            <w:r w:rsidRPr="0097406E">
              <w:rPr>
                <w:rFonts w:ascii="Arial" w:hAnsi="Arial" w:cs="Arial"/>
              </w:rPr>
              <w:t xml:space="preserve"> For example, are certain asset classes to </w:t>
            </w:r>
            <w:proofErr w:type="gramStart"/>
            <w:r w:rsidRPr="0097406E">
              <w:rPr>
                <w:rFonts w:ascii="Arial" w:hAnsi="Arial" w:cs="Arial"/>
              </w:rPr>
              <w:t>be excluded</w:t>
            </w:r>
            <w:proofErr w:type="gramEnd"/>
            <w:r w:rsidRPr="0097406E">
              <w:rPr>
                <w:rFonts w:ascii="Arial" w:hAnsi="Arial" w:cs="Arial"/>
              </w:rPr>
              <w:t xml:space="preserve">, or types of investment product excluded?  </w:t>
            </w:r>
          </w:p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</w:t>
            </w:r>
            <w:r w:rsidRPr="00B81CEC">
              <w:rPr>
                <w:rFonts w:ascii="Arial" w:hAnsi="Arial" w:cs="Arial"/>
              </w:rPr>
              <w:t xml:space="preserve"> any restrictions to </w:t>
            </w:r>
            <w:proofErr w:type="gramStart"/>
            <w:r w:rsidRPr="00B81CEC">
              <w:rPr>
                <w:rFonts w:ascii="Arial" w:hAnsi="Arial" w:cs="Arial"/>
              </w:rPr>
              <w:t>be placed</w:t>
            </w:r>
            <w:proofErr w:type="gramEnd"/>
            <w:r w:rsidRPr="00B81CEC">
              <w:rPr>
                <w:rFonts w:ascii="Arial" w:hAnsi="Arial" w:cs="Arial"/>
              </w:rPr>
              <w:t xml:space="preserve"> on the investment strategy</w:t>
            </w:r>
            <w:r>
              <w:rPr>
                <w:rFonts w:ascii="Arial" w:hAnsi="Arial" w:cs="Arial"/>
              </w:rPr>
              <w:t xml:space="preserve">. </w:t>
            </w:r>
            <w:r w:rsidRPr="00B81CEC">
              <w:rPr>
                <w:rFonts w:ascii="Arial" w:hAnsi="Arial" w:cs="Arial"/>
              </w:rPr>
              <w:t xml:space="preserve">  </w:t>
            </w: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Performance assessment</w:t>
            </w:r>
          </w:p>
        </w:tc>
        <w:tc>
          <w:tcPr>
            <w:tcW w:w="3481" w:type="dxa"/>
          </w:tcPr>
          <w:p w:rsidR="00873550" w:rsidRPr="0097406E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97406E">
              <w:rPr>
                <w:rFonts w:ascii="Arial" w:hAnsi="Arial" w:cs="Arial"/>
              </w:rPr>
              <w:t>How are we going to judge whether or not our investmen</w:t>
            </w:r>
            <w:r>
              <w:rPr>
                <w:rFonts w:ascii="Arial" w:hAnsi="Arial" w:cs="Arial"/>
              </w:rPr>
              <w:t xml:space="preserve">ts are performing well for us? </w:t>
            </w:r>
            <w:r w:rsidRPr="0097406E">
              <w:rPr>
                <w:rFonts w:ascii="Arial" w:hAnsi="Arial" w:cs="Arial"/>
              </w:rPr>
              <w:t xml:space="preserve">Is there a benchmark that is relevant for us?  </w:t>
            </w:r>
          </w:p>
        </w:tc>
        <w:tc>
          <w:tcPr>
            <w:tcW w:w="3686" w:type="dxa"/>
          </w:tcPr>
          <w:p w:rsidR="00873550" w:rsidRPr="006D0F9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 h</w:t>
            </w:r>
            <w:r w:rsidRPr="00B81CEC">
              <w:rPr>
                <w:rFonts w:ascii="Arial" w:hAnsi="Arial" w:cs="Arial"/>
              </w:rPr>
              <w:t xml:space="preserve">ow the charity </w:t>
            </w:r>
            <w:r>
              <w:rPr>
                <w:rFonts w:ascii="Arial" w:hAnsi="Arial" w:cs="Arial"/>
              </w:rPr>
              <w:t xml:space="preserve">will </w:t>
            </w:r>
            <w:r w:rsidRPr="00B81CEC">
              <w:rPr>
                <w:rFonts w:ascii="Arial" w:hAnsi="Arial" w:cs="Arial"/>
              </w:rPr>
              <w:t xml:space="preserve">assess </w:t>
            </w:r>
            <w:r>
              <w:rPr>
                <w:rFonts w:ascii="Arial" w:hAnsi="Arial" w:cs="Arial"/>
              </w:rPr>
              <w:t>financial and non-financial returns</w:t>
            </w:r>
            <w:r w:rsidRPr="00B81CEC">
              <w:rPr>
                <w:rFonts w:ascii="Arial" w:hAnsi="Arial" w:cs="Arial"/>
              </w:rPr>
              <w:t xml:space="preserve">, including </w:t>
            </w:r>
            <w:r>
              <w:rPr>
                <w:rFonts w:ascii="Arial" w:hAnsi="Arial" w:cs="Arial"/>
              </w:rPr>
              <w:t>any</w:t>
            </w:r>
            <w:r w:rsidRPr="00B81CEC">
              <w:rPr>
                <w:rFonts w:ascii="Arial" w:hAnsi="Arial" w:cs="Arial"/>
              </w:rPr>
              <w:t xml:space="preserve"> use of </w:t>
            </w:r>
            <w:hyperlink w:anchor="Nine" w:history="1">
              <w:r w:rsidRPr="00507CDE">
                <w:rPr>
                  <w:rStyle w:val="Hyperlink"/>
                  <w:rFonts w:ascii="Arial" w:hAnsi="Arial" w:cs="Arial"/>
                  <w:color w:val="7030A0"/>
                </w:rPr>
                <w:t>benchmarks</w:t>
              </w:r>
            </w:hyperlink>
            <w:r>
              <w:rPr>
                <w:rStyle w:val="Hyperlink"/>
                <w:rFonts w:ascii="Arial" w:hAnsi="Arial" w:cs="Arial"/>
                <w:color w:val="7030A0"/>
              </w:rPr>
              <w:t xml:space="preserve"> </w:t>
            </w:r>
            <w:r w:rsidRPr="001237D2">
              <w:rPr>
                <w:rStyle w:val="Hyperlink"/>
                <w:rFonts w:ascii="Arial" w:hAnsi="Arial" w:cs="Arial"/>
              </w:rPr>
              <w:t>or other measures.</w:t>
            </w:r>
            <w:r w:rsidRPr="006D0F9C">
              <w:rPr>
                <w:rFonts w:ascii="Arial" w:hAnsi="Arial" w:cs="Arial"/>
              </w:rPr>
              <w:t xml:space="preserve">  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Access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How quickly does the charity need to be able to access cash</w:t>
            </w:r>
            <w:r>
              <w:rPr>
                <w:rFonts w:ascii="Arial" w:hAnsi="Arial" w:cs="Arial"/>
              </w:rPr>
              <w:t>, if it is making a withdrawal</w:t>
            </w:r>
            <w:r w:rsidRPr="00B81CEC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Would you face any difficulties if some of your investments </w:t>
            </w:r>
            <w:proofErr w:type="gramStart"/>
            <w:r>
              <w:rPr>
                <w:rFonts w:ascii="Arial" w:hAnsi="Arial" w:cs="Arial"/>
              </w:rPr>
              <w:t>were locked</w:t>
            </w:r>
            <w:proofErr w:type="gramEnd"/>
            <w:r>
              <w:rPr>
                <w:rFonts w:ascii="Arial" w:hAnsi="Arial" w:cs="Arial"/>
              </w:rPr>
              <w:t xml:space="preserve"> away for a longer period, or you had to pay a penalty for early access?  </w:t>
            </w:r>
            <w:r w:rsidRPr="00B81CE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Set out your access requirements</w:t>
            </w:r>
            <w:r>
              <w:rPr>
                <w:rFonts w:ascii="Arial" w:hAnsi="Arial" w:cs="Arial"/>
              </w:rPr>
              <w:t xml:space="preserve">. </w:t>
            </w:r>
            <w:r w:rsidRPr="00B81CEC">
              <w:rPr>
                <w:rFonts w:ascii="Arial" w:hAnsi="Arial" w:cs="Arial"/>
              </w:rPr>
              <w:t xml:space="preserve">This </w:t>
            </w:r>
            <w:proofErr w:type="gramStart"/>
            <w:r w:rsidRPr="00B81CEC">
              <w:rPr>
                <w:rFonts w:ascii="Arial" w:hAnsi="Arial" w:cs="Arial"/>
              </w:rPr>
              <w:t>is sometimes called</w:t>
            </w:r>
            <w:proofErr w:type="gramEnd"/>
            <w:r w:rsidRPr="00B81CEC">
              <w:rPr>
                <w:rFonts w:ascii="Arial" w:hAnsi="Arial" w:cs="Arial"/>
              </w:rPr>
              <w:t xml:space="preserve"> ‘</w:t>
            </w:r>
            <w:hyperlink w:anchor="Nine" w:history="1">
              <w:r w:rsidRPr="00507CDE">
                <w:rPr>
                  <w:rStyle w:val="Hyperlink"/>
                  <w:rFonts w:ascii="Arial" w:hAnsi="Arial" w:cs="Arial"/>
                  <w:color w:val="7030A0"/>
                </w:rPr>
                <w:t>liquidity</w:t>
              </w:r>
            </w:hyperlink>
            <w:r w:rsidRPr="00B81CEC">
              <w:rPr>
                <w:rFonts w:ascii="Arial" w:hAnsi="Arial" w:cs="Arial"/>
              </w:rPr>
              <w:t xml:space="preserve">’.  </w:t>
            </w:r>
          </w:p>
          <w:p w:rsidR="00873550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  <w:p w:rsidR="00873550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Many investments </w:t>
            </w:r>
            <w:proofErr w:type="gramStart"/>
            <w:r>
              <w:rPr>
                <w:rFonts w:ascii="Arial" w:hAnsi="Arial" w:cs="Arial"/>
              </w:rPr>
              <w:t>can’t</w:t>
            </w:r>
            <w:proofErr w:type="gramEnd"/>
            <w:r>
              <w:rPr>
                <w:rFonts w:ascii="Arial" w:hAnsi="Arial" w:cs="Arial"/>
              </w:rPr>
              <w:t xml:space="preserve"> be accessed on the same day, and it might take several days for them to be sold to make cash available.  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Currency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Are a</w:t>
            </w:r>
            <w:r>
              <w:rPr>
                <w:rFonts w:ascii="Arial" w:hAnsi="Arial" w:cs="Arial"/>
              </w:rPr>
              <w:t xml:space="preserve">ll of our operations UK-based? </w:t>
            </w:r>
            <w:r w:rsidRPr="00B81CEC">
              <w:rPr>
                <w:rFonts w:ascii="Arial" w:hAnsi="Arial" w:cs="Arial"/>
              </w:rPr>
              <w:t>Do we operate overseas?</w:t>
            </w: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out</w:t>
            </w:r>
            <w:r w:rsidRPr="00B81CEC">
              <w:rPr>
                <w:rFonts w:ascii="Arial" w:hAnsi="Arial" w:cs="Arial"/>
              </w:rPr>
              <w:t xml:space="preserve"> any </w:t>
            </w:r>
            <w:r>
              <w:rPr>
                <w:rFonts w:ascii="Arial" w:hAnsi="Arial" w:cs="Arial"/>
              </w:rPr>
              <w:t xml:space="preserve">foreign </w:t>
            </w:r>
            <w:r w:rsidRPr="00B81CEC">
              <w:rPr>
                <w:rFonts w:ascii="Arial" w:hAnsi="Arial" w:cs="Arial"/>
              </w:rPr>
              <w:t>currency requirements</w:t>
            </w:r>
            <w:r>
              <w:rPr>
                <w:rFonts w:ascii="Arial" w:hAnsi="Arial" w:cs="Arial"/>
              </w:rPr>
              <w:t xml:space="preserve">. </w:t>
            </w:r>
            <w:r w:rsidRPr="00B81CEC">
              <w:rPr>
                <w:rFonts w:ascii="Arial" w:hAnsi="Arial" w:cs="Arial"/>
              </w:rPr>
              <w:t>This is particularly relevant for charities with overseas operations.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Reporting requirements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>What kind of channels of communication do we want with our investment manager/other adviser</w:t>
            </w:r>
            <w:r>
              <w:rPr>
                <w:rFonts w:ascii="Arial" w:hAnsi="Arial" w:cs="Arial"/>
              </w:rPr>
              <w:t xml:space="preserve"> (if you have one)? </w:t>
            </w:r>
            <w:r w:rsidRPr="00B81CEC">
              <w:rPr>
                <w:rFonts w:ascii="Arial" w:hAnsi="Arial" w:cs="Arial"/>
              </w:rPr>
              <w:t xml:space="preserve">How often do we want to </w:t>
            </w:r>
            <w:r>
              <w:rPr>
                <w:rFonts w:ascii="Arial" w:hAnsi="Arial" w:cs="Arial"/>
              </w:rPr>
              <w:t>meet them/receive reports?</w:t>
            </w:r>
            <w:r w:rsidRPr="0097406E">
              <w:rPr>
                <w:rFonts w:ascii="Arial" w:hAnsi="Arial" w:cs="Arial"/>
              </w:rPr>
              <w:t xml:space="preserve"> How will we have visibility over the value of our various assets and how this changes over time?</w:t>
            </w: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out how</w:t>
            </w:r>
            <w:r w:rsidRPr="00B81CEC">
              <w:rPr>
                <w:rFonts w:ascii="Arial" w:hAnsi="Arial" w:cs="Arial"/>
              </w:rPr>
              <w:t xml:space="preserve"> often you want to receive reports with valuations and commentary</w:t>
            </w:r>
            <w:r>
              <w:rPr>
                <w:rFonts w:ascii="Arial" w:hAnsi="Arial" w:cs="Arial"/>
              </w:rPr>
              <w:t>. Set out any</w:t>
            </w:r>
            <w:r w:rsidRPr="00B81CEC">
              <w:rPr>
                <w:rFonts w:ascii="Arial" w:hAnsi="Arial" w:cs="Arial"/>
              </w:rPr>
              <w:t xml:space="preserve"> online access </w:t>
            </w:r>
            <w:r>
              <w:rPr>
                <w:rFonts w:ascii="Arial" w:hAnsi="Arial" w:cs="Arial"/>
              </w:rPr>
              <w:t>requirements.</w:t>
            </w:r>
            <w:r w:rsidRPr="00B81CE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State how frequently any key committee/board meetings take place where you expect your investment manager/other adviser to attend. </w:t>
            </w:r>
            <w:r w:rsidRPr="00B81CEC">
              <w:rPr>
                <w:rFonts w:ascii="Arial" w:hAnsi="Arial" w:cs="Arial"/>
              </w:rPr>
              <w:t xml:space="preserve">If you have </w:t>
            </w:r>
            <w:r>
              <w:rPr>
                <w:rFonts w:ascii="Arial" w:hAnsi="Arial" w:cs="Arial"/>
              </w:rPr>
              <w:t xml:space="preserve">a </w:t>
            </w:r>
            <w:r w:rsidRPr="00B81CEC">
              <w:rPr>
                <w:rFonts w:ascii="Arial" w:hAnsi="Arial" w:cs="Arial"/>
              </w:rPr>
              <w:t xml:space="preserve">building, </w:t>
            </w:r>
            <w:r>
              <w:rPr>
                <w:rFonts w:ascii="Arial" w:hAnsi="Arial" w:cs="Arial"/>
              </w:rPr>
              <w:t>state any policy relating to valuations or updates on the building’s condition.</w:t>
            </w:r>
            <w:r w:rsidRPr="00B81CEC">
              <w:rPr>
                <w:rFonts w:ascii="Arial" w:hAnsi="Arial" w:cs="Arial"/>
              </w:rPr>
              <w:t xml:space="preserve"> If you have cash, </w:t>
            </w:r>
            <w:r>
              <w:rPr>
                <w:rFonts w:ascii="Arial" w:hAnsi="Arial" w:cs="Arial"/>
              </w:rPr>
              <w:t xml:space="preserve">mention </w:t>
            </w:r>
            <w:r w:rsidRPr="00B81CEC">
              <w:rPr>
                <w:rFonts w:ascii="Arial" w:hAnsi="Arial" w:cs="Arial"/>
              </w:rPr>
              <w:t xml:space="preserve">how often you receive statements and how these </w:t>
            </w:r>
            <w:proofErr w:type="gramStart"/>
            <w:r>
              <w:rPr>
                <w:rFonts w:ascii="Arial" w:hAnsi="Arial" w:cs="Arial"/>
              </w:rPr>
              <w:t xml:space="preserve">are </w:t>
            </w:r>
            <w:r w:rsidRPr="00B81CEC">
              <w:rPr>
                <w:rFonts w:ascii="Arial" w:hAnsi="Arial" w:cs="Arial"/>
              </w:rPr>
              <w:t>accessed</w:t>
            </w:r>
            <w:proofErr w:type="gramEnd"/>
            <w:r>
              <w:rPr>
                <w:rFonts w:ascii="Arial" w:hAnsi="Arial" w:cs="Arial"/>
              </w:rPr>
              <w:t>.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Review process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 xml:space="preserve">What is our process for updating and keeping the investment policy statement under review?  </w:t>
            </w: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 xml:space="preserve">Set out how your investment policy statement </w:t>
            </w:r>
            <w:proofErr w:type="gramStart"/>
            <w:r w:rsidRPr="00B81CEC">
              <w:rPr>
                <w:rFonts w:ascii="Arial" w:hAnsi="Arial" w:cs="Arial"/>
              </w:rPr>
              <w:t>will be kept</w:t>
            </w:r>
            <w:proofErr w:type="gramEnd"/>
            <w:r w:rsidRPr="00B81CEC">
              <w:rPr>
                <w:rFonts w:ascii="Arial" w:hAnsi="Arial" w:cs="Arial"/>
              </w:rPr>
              <w:t xml:space="preserve"> under review, to ensure it continues to reflect the purposes, strategy and objectives of the charit</w:t>
            </w:r>
            <w:r>
              <w:rPr>
                <w:rFonts w:ascii="Arial" w:hAnsi="Arial" w:cs="Arial"/>
              </w:rPr>
              <w:t>y, which may evolve over time. Mention if</w:t>
            </w:r>
            <w:r w:rsidRPr="00B81CEC">
              <w:rPr>
                <w:rFonts w:ascii="Arial" w:hAnsi="Arial" w:cs="Arial"/>
              </w:rPr>
              <w:t xml:space="preserve"> there a Finance or Investment Committee which more regularly considers the investment policy statement, and how often is it seen, discussed and approved by all </w:t>
            </w:r>
            <w:r>
              <w:rPr>
                <w:rFonts w:ascii="Arial" w:hAnsi="Arial" w:cs="Arial"/>
              </w:rPr>
              <w:t>charity trustee</w:t>
            </w:r>
            <w:r w:rsidRPr="00B81CEC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73550" w:rsidRPr="00B81CEC" w:rsidTr="00873550">
        <w:tc>
          <w:tcPr>
            <w:tcW w:w="483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873550" w:rsidRPr="00873550" w:rsidRDefault="00873550" w:rsidP="00C53F16">
            <w:pPr>
              <w:spacing w:line="276" w:lineRule="auto"/>
              <w:rPr>
                <w:rFonts w:ascii="Arial" w:hAnsi="Arial" w:cs="Arial"/>
                <w:b/>
              </w:rPr>
            </w:pPr>
            <w:r w:rsidRPr="00873550">
              <w:rPr>
                <w:rFonts w:ascii="Arial" w:hAnsi="Arial" w:cs="Arial"/>
                <w:b/>
              </w:rPr>
              <w:t>Sign-off</w:t>
            </w:r>
          </w:p>
        </w:tc>
        <w:tc>
          <w:tcPr>
            <w:tcW w:w="3481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873550" w:rsidRPr="00B81CEC" w:rsidRDefault="00873550" w:rsidP="00C53F16">
            <w:pPr>
              <w:spacing w:line="276" w:lineRule="auto"/>
              <w:rPr>
                <w:rFonts w:ascii="Arial" w:hAnsi="Arial" w:cs="Arial"/>
              </w:rPr>
            </w:pPr>
            <w:r w:rsidRPr="00B81CEC">
              <w:rPr>
                <w:rFonts w:ascii="Arial" w:hAnsi="Arial" w:cs="Arial"/>
              </w:rPr>
              <w:t xml:space="preserve">A note of the date when the </w:t>
            </w:r>
            <w:proofErr w:type="gramStart"/>
            <w:r w:rsidRPr="00B81CEC">
              <w:rPr>
                <w:rFonts w:ascii="Arial" w:hAnsi="Arial" w:cs="Arial"/>
              </w:rPr>
              <w:t xml:space="preserve">investment policy statement was approved by the </w:t>
            </w:r>
            <w:r>
              <w:rPr>
                <w:rFonts w:ascii="Arial" w:hAnsi="Arial" w:cs="Arial"/>
              </w:rPr>
              <w:t>charity trustee</w:t>
            </w:r>
            <w:r w:rsidRPr="00B81CEC"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 xml:space="preserve"> plus dates of any reviews and amendments. </w:t>
            </w:r>
          </w:p>
        </w:tc>
      </w:tr>
    </w:tbl>
    <w:p w:rsidR="00A75AEB" w:rsidRDefault="00A75AEB"/>
    <w:sectPr w:rsidR="00A75AEB" w:rsidSect="00A7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50"/>
    <w:rsid w:val="003567FC"/>
    <w:rsid w:val="003B4C69"/>
    <w:rsid w:val="004C2EA5"/>
    <w:rsid w:val="004D0F4B"/>
    <w:rsid w:val="0051044A"/>
    <w:rsid w:val="00674945"/>
    <w:rsid w:val="00873550"/>
    <w:rsid w:val="009240B5"/>
    <w:rsid w:val="00A75AEB"/>
    <w:rsid w:val="00D360A1"/>
    <w:rsid w:val="00D56FF8"/>
    <w:rsid w:val="00DC4438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C2C9D-7166-4177-9116-189982EA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6FF8"/>
    <w:rPr>
      <w:b/>
      <w:color w:val="0000FF"/>
      <w:u w:val="none"/>
    </w:rPr>
  </w:style>
  <w:style w:type="paragraph" w:styleId="ListParagraph">
    <w:name w:val="List Paragraph"/>
    <w:basedOn w:val="Normal"/>
    <w:autoRedefine/>
    <w:uiPriority w:val="34"/>
    <w:qFormat/>
    <w:rsid w:val="00674945"/>
    <w:pPr>
      <w:ind w:left="720"/>
      <w:contextualSpacing/>
    </w:pPr>
    <w:rPr>
      <w:rFonts w:eastAsia="MS Mincho"/>
      <w:lang w:eastAsia="ja-JP"/>
    </w:rPr>
  </w:style>
  <w:style w:type="table" w:customStyle="1" w:styleId="GridTable4-Accent41">
    <w:name w:val="Grid Table 4 - Accent 41"/>
    <w:basedOn w:val="TableNormal"/>
    <w:uiPriority w:val="49"/>
    <w:rsid w:val="00873550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873550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873550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eGrid">
    <w:name w:val="Table Grid"/>
    <w:basedOn w:val="TableNormal"/>
    <w:uiPriority w:val="39"/>
    <w:rsid w:val="00873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scr.org.uk/guidance-and-forms/charity-reserves-factsheet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4789</Characters>
  <Application>Microsoft Office Word</Application>
  <DocSecurity>0</DocSecurity>
  <Lines>39</Lines>
  <Paragraphs>11</Paragraphs>
  <ScaleCrop>false</ScaleCrop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Monk2, Caroline</dc:creator>
  <cp:keywords/>
  <dc:description/>
  <cp:lastModifiedBy>Monk2, Caroline</cp:lastModifiedBy>
  <cp:revision>1</cp:revision>
  <dcterms:created xsi:type="dcterms:W3CDTF">2018-11-07T15:36:00Z</dcterms:created>
  <dcterms:modified xsi:type="dcterms:W3CDTF">2018-11-07T15:38:00Z</dcterms:modified>
</cp:coreProperties>
</file>