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55" w:rsidRPr="000A4829" w:rsidRDefault="005A2355" w:rsidP="005A2355">
      <w:pPr>
        <w:rPr>
          <w:rFonts w:ascii="Arial" w:hAnsi="Arial" w:cs="Arial"/>
        </w:rPr>
      </w:pPr>
      <w:r w:rsidRPr="000A4829">
        <w:rPr>
          <w:rFonts w:ascii="Arial" w:hAnsi="Arial" w:cs="Arial"/>
          <w:noProof/>
        </w:rPr>
        <w:drawing>
          <wp:inline distT="0" distB="0" distL="0" distR="0">
            <wp:extent cx="5410200" cy="1009650"/>
            <wp:effectExtent l="19050" t="0" r="0" b="0"/>
            <wp:docPr id="1" name="Picture 1" descr="oscr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r top logo"/>
                    <pic:cNvPicPr>
                      <a:picLocks noChangeAspect="1" noChangeArrowheads="1"/>
                    </pic:cNvPicPr>
                  </pic:nvPicPr>
                  <pic:blipFill>
                    <a:blip r:embed="rId7" cstate="print"/>
                    <a:srcRect/>
                    <a:stretch>
                      <a:fillRect/>
                    </a:stretch>
                  </pic:blipFill>
                  <pic:spPr bwMode="auto">
                    <a:xfrm>
                      <a:off x="0" y="0"/>
                      <a:ext cx="5410200" cy="1009650"/>
                    </a:xfrm>
                    <a:prstGeom prst="rect">
                      <a:avLst/>
                    </a:prstGeom>
                    <a:noFill/>
                    <a:ln w="9525">
                      <a:noFill/>
                      <a:miter lim="800000"/>
                      <a:headEnd/>
                      <a:tailEnd/>
                    </a:ln>
                  </pic:spPr>
                </pic:pic>
              </a:graphicData>
            </a:graphic>
          </wp:inline>
        </w:drawing>
      </w:r>
    </w:p>
    <w:p w:rsidR="0025257D" w:rsidRPr="000A4829" w:rsidRDefault="0025257D" w:rsidP="005A2355">
      <w:pPr>
        <w:rPr>
          <w:rFonts w:ascii="Arial" w:hAnsi="Arial" w:cs="Arial"/>
          <w:b/>
        </w:rPr>
      </w:pPr>
    </w:p>
    <w:p w:rsidR="00F75D74" w:rsidRPr="000A4829" w:rsidRDefault="00F75D74" w:rsidP="005A2355">
      <w:pPr>
        <w:rPr>
          <w:rFonts w:ascii="Arial" w:hAnsi="Arial" w:cs="Arial"/>
          <w:b/>
        </w:rPr>
      </w:pPr>
    </w:p>
    <w:p w:rsidR="005A2355" w:rsidRPr="000A4829" w:rsidRDefault="005A2355" w:rsidP="005A2355">
      <w:pPr>
        <w:rPr>
          <w:rFonts w:ascii="Arial" w:hAnsi="Arial" w:cs="Arial"/>
          <w:b/>
        </w:rPr>
      </w:pPr>
      <w:r w:rsidRPr="000A4829">
        <w:rPr>
          <w:rFonts w:ascii="Arial" w:hAnsi="Arial" w:cs="Arial"/>
          <w:b/>
        </w:rPr>
        <w:t xml:space="preserve">PAPER NUMBER: </w:t>
      </w:r>
      <w:r w:rsidR="0028691D" w:rsidRPr="000A4829">
        <w:rPr>
          <w:rFonts w:ascii="Arial" w:hAnsi="Arial" w:cs="Arial"/>
          <w:b/>
        </w:rPr>
        <w:t>201</w:t>
      </w:r>
      <w:r w:rsidR="00CD5DC5" w:rsidRPr="000A4829">
        <w:rPr>
          <w:rFonts w:ascii="Arial" w:hAnsi="Arial" w:cs="Arial"/>
          <w:b/>
        </w:rPr>
        <w:t>4</w:t>
      </w:r>
      <w:r w:rsidR="0028691D" w:rsidRPr="000A4829">
        <w:rPr>
          <w:rFonts w:ascii="Arial" w:hAnsi="Arial" w:cs="Arial"/>
          <w:b/>
        </w:rPr>
        <w:t>-</w:t>
      </w:r>
      <w:r w:rsidR="00CD5DC5" w:rsidRPr="000A4829">
        <w:rPr>
          <w:rFonts w:ascii="Arial" w:hAnsi="Arial" w:cs="Arial"/>
          <w:b/>
        </w:rPr>
        <w:t>02</w:t>
      </w:r>
      <w:r w:rsidR="0028691D" w:rsidRPr="000A4829">
        <w:rPr>
          <w:rFonts w:ascii="Arial" w:hAnsi="Arial" w:cs="Arial"/>
          <w:b/>
        </w:rPr>
        <w:t>-</w:t>
      </w:r>
      <w:r w:rsidR="00817C51">
        <w:rPr>
          <w:rFonts w:ascii="Arial" w:hAnsi="Arial" w:cs="Arial"/>
          <w:b/>
        </w:rPr>
        <w:t>04</w:t>
      </w:r>
      <w:r w:rsidR="0028691D" w:rsidRPr="000A4829">
        <w:rPr>
          <w:rFonts w:ascii="Arial" w:hAnsi="Arial" w:cs="Arial"/>
          <w:b/>
        </w:rPr>
        <w:t>/</w:t>
      </w:r>
      <w:r w:rsidR="00544584" w:rsidRPr="000A4829">
        <w:rPr>
          <w:rFonts w:ascii="Arial" w:hAnsi="Arial" w:cs="Arial"/>
          <w:b/>
        </w:rPr>
        <w:t>BOARD/</w:t>
      </w:r>
      <w:r w:rsidR="00A24131" w:rsidRPr="000A4829">
        <w:rPr>
          <w:rFonts w:ascii="Arial" w:hAnsi="Arial" w:cs="Arial"/>
          <w:b/>
        </w:rPr>
        <w:t>3</w:t>
      </w:r>
      <w:r w:rsidR="00817C51">
        <w:rPr>
          <w:rFonts w:ascii="Arial" w:hAnsi="Arial" w:cs="Arial"/>
          <w:b/>
        </w:rPr>
        <w:t>70</w:t>
      </w:r>
    </w:p>
    <w:p w:rsidR="005A2355" w:rsidRPr="000A4829" w:rsidRDefault="005A2355" w:rsidP="005A2355">
      <w:pPr>
        <w:rPr>
          <w:rFonts w:ascii="Arial" w:hAnsi="Arial" w:cs="Arial"/>
        </w:rPr>
      </w:pPr>
    </w:p>
    <w:p w:rsidR="005A2355" w:rsidRPr="000A4829" w:rsidRDefault="005A2355" w:rsidP="005A2355">
      <w:pPr>
        <w:rPr>
          <w:rFonts w:ascii="Arial" w:hAnsi="Arial" w:cs="Arial"/>
          <w:b/>
        </w:rPr>
      </w:pPr>
      <w:r w:rsidRPr="000A4829">
        <w:rPr>
          <w:rFonts w:ascii="Arial" w:hAnsi="Arial" w:cs="Arial"/>
          <w:b/>
        </w:rPr>
        <w:t>MINUTES</w:t>
      </w:r>
    </w:p>
    <w:p w:rsidR="005A2355" w:rsidRPr="000A4829" w:rsidRDefault="005A2355" w:rsidP="005A2355">
      <w:pPr>
        <w:rPr>
          <w:rFonts w:ascii="Arial" w:hAnsi="Arial" w:cs="Arial"/>
          <w:b/>
        </w:rPr>
      </w:pPr>
    </w:p>
    <w:p w:rsidR="005A2355" w:rsidRPr="000A4829" w:rsidRDefault="005A2355" w:rsidP="005A2355">
      <w:pPr>
        <w:rPr>
          <w:rFonts w:ascii="Arial" w:hAnsi="Arial" w:cs="Arial"/>
          <w:b/>
        </w:rPr>
      </w:pPr>
      <w:r w:rsidRPr="000A4829">
        <w:rPr>
          <w:rFonts w:ascii="Arial" w:hAnsi="Arial" w:cs="Arial"/>
          <w:b/>
        </w:rPr>
        <w:t>OSCR Board meeting</w:t>
      </w:r>
    </w:p>
    <w:p w:rsidR="005A2355" w:rsidRPr="000A4829" w:rsidRDefault="005A2355" w:rsidP="005A2355">
      <w:pPr>
        <w:rPr>
          <w:rFonts w:ascii="Arial" w:hAnsi="Arial" w:cs="Arial"/>
          <w:b/>
        </w:rPr>
      </w:pPr>
    </w:p>
    <w:p w:rsidR="00BD2311" w:rsidRPr="00BD2311" w:rsidRDefault="005A2355" w:rsidP="00BD2311">
      <w:pPr>
        <w:rPr>
          <w:rFonts w:ascii="Arial" w:hAnsi="Arial" w:cs="Arial"/>
          <w:b/>
        </w:rPr>
      </w:pPr>
      <w:r w:rsidRPr="00BD2311">
        <w:rPr>
          <w:rFonts w:ascii="Arial" w:hAnsi="Arial" w:cs="Arial"/>
          <w:b/>
        </w:rPr>
        <w:t xml:space="preserve">Held on </w:t>
      </w:r>
      <w:r w:rsidR="00DD1345" w:rsidRPr="00BD2311">
        <w:rPr>
          <w:rFonts w:ascii="Arial" w:hAnsi="Arial" w:cs="Arial"/>
          <w:b/>
        </w:rPr>
        <w:t>T</w:t>
      </w:r>
      <w:r w:rsidR="00CD5DC5" w:rsidRPr="00BD2311">
        <w:rPr>
          <w:rFonts w:ascii="Arial" w:hAnsi="Arial" w:cs="Arial"/>
          <w:b/>
        </w:rPr>
        <w:t>uesd</w:t>
      </w:r>
      <w:r w:rsidR="00DD1345" w:rsidRPr="00BD2311">
        <w:rPr>
          <w:rFonts w:ascii="Arial" w:hAnsi="Arial" w:cs="Arial"/>
          <w:b/>
        </w:rPr>
        <w:t xml:space="preserve">ay 12 </w:t>
      </w:r>
      <w:r w:rsidR="00CD5DC5" w:rsidRPr="00BD2311">
        <w:rPr>
          <w:rFonts w:ascii="Arial" w:hAnsi="Arial" w:cs="Arial"/>
          <w:b/>
        </w:rPr>
        <w:t>November</w:t>
      </w:r>
      <w:r w:rsidR="008A1E0B" w:rsidRPr="00BD2311">
        <w:rPr>
          <w:rFonts w:ascii="Arial" w:hAnsi="Arial" w:cs="Arial"/>
          <w:b/>
        </w:rPr>
        <w:t xml:space="preserve"> </w:t>
      </w:r>
      <w:r w:rsidR="00AF6BE4" w:rsidRPr="00BD2311">
        <w:rPr>
          <w:rFonts w:ascii="Arial" w:hAnsi="Arial" w:cs="Arial"/>
          <w:b/>
        </w:rPr>
        <w:t xml:space="preserve">at </w:t>
      </w:r>
      <w:r w:rsidR="00CD5DC5" w:rsidRPr="00BD2311">
        <w:rPr>
          <w:rFonts w:ascii="Arial" w:hAnsi="Arial" w:cs="Arial"/>
          <w:b/>
        </w:rPr>
        <w:t>10am</w:t>
      </w:r>
      <w:r w:rsidR="00BD2311" w:rsidRPr="00BD2311">
        <w:rPr>
          <w:rFonts w:ascii="Arial" w:hAnsi="Arial" w:cs="Arial"/>
          <w:b/>
        </w:rPr>
        <w:t xml:space="preserve"> at </w:t>
      </w:r>
      <w:r w:rsidR="00CD5DC5" w:rsidRPr="00BD2311">
        <w:rPr>
          <w:rFonts w:ascii="Arial" w:hAnsi="Arial" w:cs="Arial"/>
          <w:b/>
        </w:rPr>
        <w:t xml:space="preserve">Mental Welfare Commission, </w:t>
      </w:r>
      <w:r w:rsidR="00BD2311" w:rsidRPr="00BD2311">
        <w:rPr>
          <w:rFonts w:ascii="Arial" w:hAnsi="Arial" w:cs="Arial"/>
          <w:b/>
          <w:bCs/>
        </w:rPr>
        <w:t xml:space="preserve">91 Haymarket Terrace, Edinburgh </w:t>
      </w:r>
    </w:p>
    <w:p w:rsidR="00BD2311" w:rsidRDefault="00BD2311" w:rsidP="008A1E0B">
      <w:pPr>
        <w:rPr>
          <w:rFonts w:ascii="Arial" w:hAnsi="Arial" w:cs="Arial"/>
          <w:b/>
        </w:rPr>
      </w:pPr>
    </w:p>
    <w:p w:rsidR="00DD1345" w:rsidRPr="000A4829" w:rsidRDefault="005A2355" w:rsidP="008A1E0B">
      <w:pPr>
        <w:rPr>
          <w:rFonts w:ascii="Arial" w:hAnsi="Arial" w:cs="Arial"/>
        </w:rPr>
      </w:pPr>
      <w:r w:rsidRPr="000A4829">
        <w:rPr>
          <w:rFonts w:ascii="Arial" w:hAnsi="Arial" w:cs="Arial"/>
          <w:b/>
        </w:rPr>
        <w:t xml:space="preserve">Present: </w:t>
      </w:r>
      <w:r w:rsidRPr="000A4829">
        <w:rPr>
          <w:rFonts w:ascii="Arial" w:hAnsi="Arial" w:cs="Arial"/>
          <w:b/>
        </w:rPr>
        <w:tab/>
      </w:r>
      <w:r w:rsidRPr="000A4829">
        <w:rPr>
          <w:rFonts w:ascii="Arial" w:hAnsi="Arial" w:cs="Arial"/>
          <w:b/>
        </w:rPr>
        <w:tab/>
      </w:r>
      <w:r w:rsidR="00DD1345" w:rsidRPr="000A4829">
        <w:rPr>
          <w:rFonts w:ascii="Arial" w:hAnsi="Arial" w:cs="Arial"/>
        </w:rPr>
        <w:t>The Very Rev Dr Graham Forbes, Chair</w:t>
      </w:r>
    </w:p>
    <w:p w:rsidR="005A2355" w:rsidRPr="000A4829" w:rsidRDefault="005A2355" w:rsidP="00DD1345">
      <w:pPr>
        <w:ind w:left="1440" w:firstLine="720"/>
        <w:rPr>
          <w:rFonts w:ascii="Arial" w:hAnsi="Arial" w:cs="Arial"/>
        </w:rPr>
      </w:pPr>
      <w:r w:rsidRPr="000A4829">
        <w:rPr>
          <w:rFonts w:ascii="Arial" w:hAnsi="Arial" w:cs="Arial"/>
        </w:rPr>
        <w:t>Lindsay Montgomery, Deputy Chair</w:t>
      </w:r>
    </w:p>
    <w:p w:rsidR="00772B6F" w:rsidRPr="000A4829" w:rsidRDefault="00772B6F" w:rsidP="00DD1345">
      <w:pPr>
        <w:ind w:left="1440" w:firstLine="720"/>
        <w:rPr>
          <w:rFonts w:ascii="Arial" w:hAnsi="Arial" w:cs="Arial"/>
        </w:rPr>
      </w:pPr>
      <w:r w:rsidRPr="000A4829">
        <w:rPr>
          <w:rFonts w:ascii="Arial" w:hAnsi="Arial" w:cs="Arial"/>
        </w:rPr>
        <w:t>Annie Gunner Logan, Board Member</w:t>
      </w:r>
    </w:p>
    <w:p w:rsidR="005F1FAB" w:rsidRPr="000A4829" w:rsidRDefault="00DA02F0" w:rsidP="005F7BF3">
      <w:pPr>
        <w:tabs>
          <w:tab w:val="left" w:pos="720"/>
          <w:tab w:val="left" w:pos="1440"/>
          <w:tab w:val="left" w:pos="2160"/>
          <w:tab w:val="left" w:pos="2880"/>
          <w:tab w:val="left" w:pos="3600"/>
          <w:tab w:val="left" w:pos="4320"/>
          <w:tab w:val="left" w:pos="5040"/>
          <w:tab w:val="left" w:pos="5760"/>
          <w:tab w:val="left" w:pos="7080"/>
        </w:tabs>
        <w:rPr>
          <w:rFonts w:ascii="Arial" w:hAnsi="Arial" w:cs="Arial"/>
        </w:rPr>
      </w:pPr>
      <w:r w:rsidRPr="000A4829">
        <w:rPr>
          <w:rFonts w:ascii="Arial" w:hAnsi="Arial" w:cs="Arial"/>
        </w:rPr>
        <w:tab/>
      </w:r>
      <w:r w:rsidRPr="000A4829">
        <w:rPr>
          <w:rFonts w:ascii="Arial" w:hAnsi="Arial" w:cs="Arial"/>
        </w:rPr>
        <w:tab/>
      </w:r>
      <w:r w:rsidRPr="000A4829">
        <w:rPr>
          <w:rFonts w:ascii="Arial" w:hAnsi="Arial" w:cs="Arial"/>
        </w:rPr>
        <w:tab/>
      </w:r>
      <w:r w:rsidR="00E8180D" w:rsidRPr="000A4829">
        <w:rPr>
          <w:rFonts w:ascii="Arial" w:hAnsi="Arial" w:cs="Arial"/>
        </w:rPr>
        <w:t>Prof.</w:t>
      </w:r>
      <w:r w:rsidR="00332E7F" w:rsidRPr="000A4829">
        <w:rPr>
          <w:rFonts w:ascii="Arial" w:hAnsi="Arial" w:cs="Arial"/>
        </w:rPr>
        <w:t xml:space="preserve"> </w:t>
      </w:r>
      <w:r w:rsidR="00AF6BE4" w:rsidRPr="000A4829">
        <w:rPr>
          <w:rFonts w:ascii="Arial" w:hAnsi="Arial" w:cs="Arial"/>
        </w:rPr>
        <w:t>David Harrison, Board Member</w:t>
      </w:r>
      <w:r w:rsidR="00332E7F" w:rsidRPr="000A4829">
        <w:rPr>
          <w:rFonts w:ascii="Arial" w:hAnsi="Arial" w:cs="Arial"/>
        </w:rPr>
        <w:t xml:space="preserve"> </w:t>
      </w:r>
      <w:r w:rsidR="005F7BF3">
        <w:rPr>
          <w:rFonts w:ascii="Arial" w:hAnsi="Arial" w:cs="Arial"/>
        </w:rPr>
        <w:tab/>
      </w:r>
    </w:p>
    <w:p w:rsidR="005A2355" w:rsidRPr="000A4829" w:rsidRDefault="005A2355" w:rsidP="005A2355">
      <w:pPr>
        <w:ind w:left="1440" w:firstLine="720"/>
        <w:rPr>
          <w:rFonts w:ascii="Arial" w:hAnsi="Arial" w:cs="Arial"/>
        </w:rPr>
      </w:pPr>
      <w:r w:rsidRPr="000A4829">
        <w:rPr>
          <w:rFonts w:ascii="Arial" w:hAnsi="Arial" w:cs="Arial"/>
        </w:rPr>
        <w:t>David Hughes Hallett, Board Member</w:t>
      </w:r>
    </w:p>
    <w:p w:rsidR="00DD1345" w:rsidRPr="000A4829" w:rsidRDefault="00CD5DC5" w:rsidP="00DD1345">
      <w:pPr>
        <w:ind w:left="1440" w:firstLine="720"/>
        <w:rPr>
          <w:rFonts w:ascii="Arial" w:hAnsi="Arial" w:cs="Arial"/>
        </w:rPr>
      </w:pPr>
      <w:r w:rsidRPr="000A4829">
        <w:rPr>
          <w:rFonts w:ascii="Arial" w:hAnsi="Arial" w:cs="Arial"/>
        </w:rPr>
        <w:t>Kaliani Lyle</w:t>
      </w:r>
      <w:r w:rsidR="00DD1345" w:rsidRPr="000A4829">
        <w:rPr>
          <w:rFonts w:ascii="Arial" w:hAnsi="Arial" w:cs="Arial"/>
        </w:rPr>
        <w:t xml:space="preserve">, Board Member </w:t>
      </w:r>
    </w:p>
    <w:p w:rsidR="005A2355" w:rsidRPr="000A4829" w:rsidRDefault="005A2355" w:rsidP="005A2355">
      <w:pPr>
        <w:ind w:left="1440" w:firstLine="720"/>
        <w:rPr>
          <w:rFonts w:ascii="Arial" w:hAnsi="Arial" w:cs="Arial"/>
        </w:rPr>
      </w:pPr>
    </w:p>
    <w:p w:rsidR="005A2355" w:rsidRPr="000A4829" w:rsidRDefault="005A2355" w:rsidP="005A2355">
      <w:pPr>
        <w:rPr>
          <w:rFonts w:ascii="Arial" w:hAnsi="Arial" w:cs="Arial"/>
        </w:rPr>
      </w:pPr>
      <w:r w:rsidRPr="000A4829">
        <w:rPr>
          <w:rFonts w:ascii="Arial" w:hAnsi="Arial" w:cs="Arial"/>
          <w:b/>
        </w:rPr>
        <w:t>In attendance</w:t>
      </w:r>
      <w:r w:rsidRPr="000A4829">
        <w:rPr>
          <w:rFonts w:ascii="Arial" w:hAnsi="Arial" w:cs="Arial"/>
        </w:rPr>
        <w:t xml:space="preserve">: </w:t>
      </w:r>
      <w:r w:rsidRPr="000A4829">
        <w:rPr>
          <w:rFonts w:ascii="Arial" w:hAnsi="Arial" w:cs="Arial"/>
        </w:rPr>
        <w:tab/>
        <w:t>David Robb, Chief Executive</w:t>
      </w:r>
    </w:p>
    <w:p w:rsidR="005A2355" w:rsidRPr="000A4829" w:rsidRDefault="005A2355" w:rsidP="005A2355">
      <w:pPr>
        <w:rPr>
          <w:rFonts w:ascii="Arial" w:hAnsi="Arial" w:cs="Arial"/>
        </w:rPr>
      </w:pPr>
      <w:r w:rsidRPr="000A4829">
        <w:rPr>
          <w:rFonts w:ascii="Arial" w:hAnsi="Arial" w:cs="Arial"/>
        </w:rPr>
        <w:tab/>
      </w:r>
      <w:r w:rsidRPr="000A4829">
        <w:rPr>
          <w:rFonts w:ascii="Arial" w:hAnsi="Arial" w:cs="Arial"/>
        </w:rPr>
        <w:tab/>
      </w:r>
      <w:r w:rsidRPr="000A4829">
        <w:rPr>
          <w:rFonts w:ascii="Arial" w:hAnsi="Arial" w:cs="Arial"/>
        </w:rPr>
        <w:tab/>
        <w:t xml:space="preserve">Martin Tyson, Head of </w:t>
      </w:r>
      <w:r w:rsidR="009B16B9" w:rsidRPr="000A4829">
        <w:rPr>
          <w:rFonts w:ascii="Arial" w:hAnsi="Arial" w:cs="Arial"/>
        </w:rPr>
        <w:t>Registration</w:t>
      </w:r>
    </w:p>
    <w:p w:rsidR="005A2355" w:rsidRDefault="005A2355" w:rsidP="005A2355">
      <w:pPr>
        <w:rPr>
          <w:rFonts w:ascii="Arial" w:hAnsi="Arial" w:cs="Arial"/>
        </w:rPr>
      </w:pPr>
      <w:r w:rsidRPr="000A4829">
        <w:rPr>
          <w:rFonts w:ascii="Arial" w:hAnsi="Arial" w:cs="Arial"/>
        </w:rPr>
        <w:tab/>
      </w:r>
      <w:r w:rsidRPr="000A4829">
        <w:rPr>
          <w:rFonts w:ascii="Arial" w:hAnsi="Arial" w:cs="Arial"/>
        </w:rPr>
        <w:tab/>
      </w:r>
      <w:r w:rsidRPr="000A4829">
        <w:rPr>
          <w:rFonts w:ascii="Arial" w:hAnsi="Arial" w:cs="Arial"/>
        </w:rPr>
        <w:tab/>
        <w:t xml:space="preserve">Laura Anderson, Head of </w:t>
      </w:r>
      <w:r w:rsidR="009B16B9" w:rsidRPr="000A4829">
        <w:rPr>
          <w:rFonts w:ascii="Arial" w:hAnsi="Arial" w:cs="Arial"/>
        </w:rPr>
        <w:t>Enforcement</w:t>
      </w:r>
    </w:p>
    <w:p w:rsidR="00922685" w:rsidRPr="000A4829" w:rsidRDefault="00922685" w:rsidP="00922685">
      <w:pPr>
        <w:ind w:left="1440" w:firstLine="720"/>
        <w:rPr>
          <w:rFonts w:ascii="Arial" w:hAnsi="Arial" w:cs="Arial"/>
        </w:rPr>
      </w:pPr>
      <w:r>
        <w:rPr>
          <w:rFonts w:ascii="Arial" w:hAnsi="Arial" w:cs="Arial"/>
        </w:rPr>
        <w:t>Judith Turbyne, Head of Engagement</w:t>
      </w:r>
    </w:p>
    <w:p w:rsidR="00544584" w:rsidRPr="000A4829" w:rsidRDefault="00544584" w:rsidP="005A2355">
      <w:pPr>
        <w:rPr>
          <w:rFonts w:ascii="Arial" w:hAnsi="Arial" w:cs="Arial"/>
        </w:rPr>
      </w:pPr>
      <w:r w:rsidRPr="000A4829">
        <w:rPr>
          <w:rFonts w:ascii="Arial" w:hAnsi="Arial" w:cs="Arial"/>
        </w:rPr>
        <w:tab/>
      </w:r>
      <w:r w:rsidRPr="000A4829">
        <w:rPr>
          <w:rFonts w:ascii="Arial" w:hAnsi="Arial" w:cs="Arial"/>
        </w:rPr>
        <w:tab/>
      </w:r>
      <w:r w:rsidRPr="000A4829">
        <w:rPr>
          <w:rFonts w:ascii="Arial" w:hAnsi="Arial" w:cs="Arial"/>
        </w:rPr>
        <w:tab/>
        <w:t>Judith Hayhow, Head of Support Services</w:t>
      </w:r>
      <w:r w:rsidR="005A2355" w:rsidRPr="000A4829">
        <w:rPr>
          <w:rFonts w:ascii="Arial" w:hAnsi="Arial" w:cs="Arial"/>
        </w:rPr>
        <w:tab/>
      </w:r>
      <w:r w:rsidR="005A2355" w:rsidRPr="000A4829">
        <w:rPr>
          <w:rFonts w:ascii="Arial" w:hAnsi="Arial" w:cs="Arial"/>
        </w:rPr>
        <w:tab/>
      </w:r>
      <w:r w:rsidR="005A2355" w:rsidRPr="000A4829">
        <w:rPr>
          <w:rFonts w:ascii="Arial" w:hAnsi="Arial" w:cs="Arial"/>
        </w:rPr>
        <w:tab/>
      </w:r>
    </w:p>
    <w:p w:rsidR="00544584" w:rsidRPr="000A4829" w:rsidRDefault="00AF6BE4" w:rsidP="005A2355">
      <w:pPr>
        <w:rPr>
          <w:rFonts w:ascii="Arial" w:hAnsi="Arial" w:cs="Arial"/>
        </w:rPr>
      </w:pPr>
      <w:r w:rsidRPr="000A4829">
        <w:rPr>
          <w:rFonts w:ascii="Arial" w:hAnsi="Arial" w:cs="Arial"/>
        </w:rPr>
        <w:tab/>
      </w:r>
      <w:r w:rsidRPr="000A4829">
        <w:rPr>
          <w:rFonts w:ascii="Arial" w:hAnsi="Arial" w:cs="Arial"/>
        </w:rPr>
        <w:tab/>
      </w:r>
      <w:r w:rsidRPr="000A4829">
        <w:rPr>
          <w:rFonts w:ascii="Arial" w:hAnsi="Arial" w:cs="Arial"/>
        </w:rPr>
        <w:tab/>
      </w:r>
      <w:r w:rsidR="008A1E0B" w:rsidRPr="000A4829">
        <w:rPr>
          <w:rFonts w:ascii="Arial" w:hAnsi="Arial" w:cs="Arial"/>
        </w:rPr>
        <w:t>Jane Holligan, Board Secretary</w:t>
      </w:r>
    </w:p>
    <w:p w:rsidR="00CD5DC5" w:rsidRPr="000A4829" w:rsidRDefault="00CD5DC5" w:rsidP="005A2355">
      <w:pPr>
        <w:rPr>
          <w:rFonts w:ascii="Arial" w:hAnsi="Arial" w:cs="Arial"/>
        </w:rPr>
      </w:pPr>
      <w:r w:rsidRPr="000A4829">
        <w:rPr>
          <w:rFonts w:ascii="Arial" w:hAnsi="Arial" w:cs="Arial"/>
        </w:rPr>
        <w:tab/>
      </w:r>
      <w:r w:rsidRPr="000A4829">
        <w:rPr>
          <w:rFonts w:ascii="Arial" w:hAnsi="Arial" w:cs="Arial"/>
        </w:rPr>
        <w:tab/>
      </w:r>
      <w:r w:rsidRPr="000A4829">
        <w:rPr>
          <w:rFonts w:ascii="Arial" w:hAnsi="Arial" w:cs="Arial"/>
        </w:rPr>
        <w:tab/>
        <w:t>David Perkins (OSCR staff observer)</w:t>
      </w:r>
    </w:p>
    <w:p w:rsidR="008A1E0B" w:rsidRPr="000A4829" w:rsidRDefault="00CD5DC5" w:rsidP="008A1E0B">
      <w:pPr>
        <w:ind w:left="2160"/>
        <w:rPr>
          <w:rFonts w:ascii="Arial" w:hAnsi="Arial" w:cs="Arial"/>
        </w:rPr>
      </w:pPr>
      <w:r w:rsidRPr="000A4829">
        <w:rPr>
          <w:rFonts w:ascii="Arial" w:hAnsi="Arial" w:cs="Arial"/>
        </w:rPr>
        <w:t>Nicola McBain (OSCR staff observer)</w:t>
      </w:r>
    </w:p>
    <w:p w:rsidR="005A2355" w:rsidRPr="000A4829" w:rsidRDefault="0084634D" w:rsidP="008A1E0B">
      <w:pPr>
        <w:rPr>
          <w:rFonts w:ascii="Arial" w:hAnsi="Arial" w:cs="Arial"/>
        </w:rPr>
      </w:pPr>
      <w:r w:rsidRPr="000A4829">
        <w:rPr>
          <w:rFonts w:ascii="Arial" w:hAnsi="Arial" w:cs="Arial"/>
        </w:rPr>
        <w:t xml:space="preserve">                            </w:t>
      </w:r>
      <w:r w:rsidR="005A2355" w:rsidRPr="000A4829">
        <w:rPr>
          <w:rFonts w:ascii="Arial" w:hAnsi="Arial" w:cs="Arial"/>
        </w:rPr>
        <w:tab/>
      </w:r>
      <w:r w:rsidR="005A2355" w:rsidRPr="000A4829">
        <w:rPr>
          <w:rFonts w:ascii="Arial" w:hAnsi="Arial" w:cs="Arial"/>
        </w:rPr>
        <w:tab/>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6540"/>
        <w:gridCol w:w="1230"/>
      </w:tblGrid>
      <w:tr w:rsidR="005A2355" w:rsidRPr="000A4829" w:rsidTr="00913BA8">
        <w:tc>
          <w:tcPr>
            <w:tcW w:w="798" w:type="dxa"/>
          </w:tcPr>
          <w:p w:rsidR="005A2355" w:rsidRPr="000A4829" w:rsidRDefault="005A2355" w:rsidP="00913BA8">
            <w:pPr>
              <w:rPr>
                <w:rFonts w:ascii="Arial" w:hAnsi="Arial" w:cs="Arial"/>
                <w:b/>
              </w:rPr>
            </w:pPr>
          </w:p>
        </w:tc>
        <w:tc>
          <w:tcPr>
            <w:tcW w:w="6540" w:type="dxa"/>
          </w:tcPr>
          <w:p w:rsidR="005A2355" w:rsidRPr="000A4829" w:rsidRDefault="005A2355" w:rsidP="00913BA8">
            <w:pPr>
              <w:rPr>
                <w:rFonts w:ascii="Arial" w:hAnsi="Arial" w:cs="Arial"/>
              </w:rPr>
            </w:pPr>
          </w:p>
        </w:tc>
        <w:tc>
          <w:tcPr>
            <w:tcW w:w="1230" w:type="dxa"/>
          </w:tcPr>
          <w:p w:rsidR="005A2355" w:rsidRPr="000A4829" w:rsidRDefault="005A2355" w:rsidP="00913BA8">
            <w:pPr>
              <w:rPr>
                <w:rFonts w:ascii="Arial" w:hAnsi="Arial" w:cs="Arial"/>
                <w:b/>
              </w:rPr>
            </w:pPr>
            <w:r w:rsidRPr="000A4829">
              <w:rPr>
                <w:rFonts w:ascii="Arial" w:hAnsi="Arial" w:cs="Arial"/>
                <w:b/>
              </w:rPr>
              <w:t>ACTION</w:t>
            </w:r>
          </w:p>
        </w:tc>
      </w:tr>
      <w:tr w:rsidR="00AF6BE4" w:rsidRPr="000A4829" w:rsidTr="00913BA8">
        <w:tc>
          <w:tcPr>
            <w:tcW w:w="798" w:type="dxa"/>
          </w:tcPr>
          <w:p w:rsidR="00AF6BE4" w:rsidRPr="000A4829" w:rsidRDefault="00AF6BE4" w:rsidP="00913BA8">
            <w:pPr>
              <w:rPr>
                <w:rFonts w:ascii="Arial" w:hAnsi="Arial" w:cs="Arial"/>
                <w:b/>
              </w:rPr>
            </w:pPr>
            <w:r w:rsidRPr="000A4829">
              <w:rPr>
                <w:rFonts w:ascii="Arial" w:hAnsi="Arial" w:cs="Arial"/>
                <w:b/>
              </w:rPr>
              <w:t xml:space="preserve">1. </w:t>
            </w:r>
          </w:p>
        </w:tc>
        <w:tc>
          <w:tcPr>
            <w:tcW w:w="6540" w:type="dxa"/>
          </w:tcPr>
          <w:p w:rsidR="00AF6BE4" w:rsidRPr="000A4829" w:rsidRDefault="00AF6BE4" w:rsidP="00913BA8">
            <w:pPr>
              <w:rPr>
                <w:rFonts w:ascii="Arial" w:hAnsi="Arial" w:cs="Arial"/>
                <w:b/>
              </w:rPr>
            </w:pPr>
            <w:r w:rsidRPr="000A4829">
              <w:rPr>
                <w:rFonts w:ascii="Arial" w:hAnsi="Arial" w:cs="Arial"/>
                <w:b/>
              </w:rPr>
              <w:t xml:space="preserve">Apologies </w:t>
            </w:r>
          </w:p>
          <w:p w:rsidR="00AF6BE4" w:rsidRPr="000A4829" w:rsidRDefault="008A1E0B" w:rsidP="00913BA8">
            <w:pPr>
              <w:rPr>
                <w:rFonts w:ascii="Arial" w:hAnsi="Arial" w:cs="Arial"/>
                <w:b/>
              </w:rPr>
            </w:pPr>
            <w:r w:rsidRPr="000A4829">
              <w:rPr>
                <w:rFonts w:ascii="Arial" w:hAnsi="Arial" w:cs="Arial"/>
                <w:b/>
              </w:rPr>
              <w:t xml:space="preserve">  </w:t>
            </w:r>
          </w:p>
          <w:p w:rsidR="00544584" w:rsidRPr="000A4829" w:rsidRDefault="000C44ED" w:rsidP="008A1E0B">
            <w:pPr>
              <w:rPr>
                <w:rFonts w:ascii="Arial" w:hAnsi="Arial" w:cs="Arial"/>
                <w:b/>
              </w:rPr>
            </w:pPr>
            <w:r w:rsidRPr="000A4829">
              <w:rPr>
                <w:rFonts w:ascii="Arial" w:hAnsi="Arial" w:cs="Arial"/>
              </w:rPr>
              <w:t xml:space="preserve">Apologies received from </w:t>
            </w:r>
            <w:r w:rsidR="00CD5DC5" w:rsidRPr="000A4829">
              <w:rPr>
                <w:rFonts w:ascii="Arial" w:hAnsi="Arial" w:cs="Arial"/>
              </w:rPr>
              <w:t>Fiona Ballantyne</w:t>
            </w:r>
            <w:r w:rsidR="00DD1345" w:rsidRPr="000A4829">
              <w:rPr>
                <w:rFonts w:ascii="Arial" w:hAnsi="Arial" w:cs="Arial"/>
              </w:rPr>
              <w:t>.</w:t>
            </w:r>
          </w:p>
          <w:p w:rsidR="008A1E0B" w:rsidRPr="000A4829" w:rsidRDefault="008A1E0B" w:rsidP="008A1E0B">
            <w:pPr>
              <w:rPr>
                <w:rFonts w:ascii="Arial" w:hAnsi="Arial" w:cs="Arial"/>
                <w:b/>
              </w:rPr>
            </w:pPr>
          </w:p>
        </w:tc>
        <w:tc>
          <w:tcPr>
            <w:tcW w:w="1230" w:type="dxa"/>
          </w:tcPr>
          <w:p w:rsidR="00AF6BE4" w:rsidRPr="000A4829" w:rsidRDefault="00AF6BE4" w:rsidP="00913BA8">
            <w:pPr>
              <w:rPr>
                <w:rFonts w:ascii="Arial" w:hAnsi="Arial" w:cs="Arial"/>
                <w:b/>
              </w:rPr>
            </w:pPr>
          </w:p>
        </w:tc>
      </w:tr>
      <w:tr w:rsidR="005A2355" w:rsidRPr="000A4829" w:rsidTr="00913BA8">
        <w:tc>
          <w:tcPr>
            <w:tcW w:w="798" w:type="dxa"/>
          </w:tcPr>
          <w:p w:rsidR="005A2355" w:rsidRPr="000A4829" w:rsidRDefault="00F75D74" w:rsidP="00913BA8">
            <w:pPr>
              <w:rPr>
                <w:rFonts w:ascii="Arial" w:hAnsi="Arial" w:cs="Arial"/>
                <w:b/>
              </w:rPr>
            </w:pPr>
            <w:r w:rsidRPr="000A4829">
              <w:rPr>
                <w:rFonts w:ascii="Arial" w:hAnsi="Arial" w:cs="Arial"/>
                <w:b/>
              </w:rPr>
              <w:t>2</w:t>
            </w:r>
            <w:r w:rsidR="005A2355" w:rsidRPr="000A4829">
              <w:rPr>
                <w:rFonts w:ascii="Arial" w:hAnsi="Arial" w:cs="Arial"/>
                <w:b/>
              </w:rPr>
              <w:t>.</w:t>
            </w:r>
          </w:p>
        </w:tc>
        <w:tc>
          <w:tcPr>
            <w:tcW w:w="6540" w:type="dxa"/>
          </w:tcPr>
          <w:p w:rsidR="005A2355" w:rsidRPr="000A4829" w:rsidRDefault="005A2355" w:rsidP="00913BA8">
            <w:pPr>
              <w:rPr>
                <w:rFonts w:ascii="Arial" w:hAnsi="Arial" w:cs="Arial"/>
                <w:b/>
              </w:rPr>
            </w:pPr>
            <w:r w:rsidRPr="000A4829">
              <w:rPr>
                <w:rFonts w:ascii="Arial" w:hAnsi="Arial" w:cs="Arial"/>
                <w:b/>
              </w:rPr>
              <w:t>Declarations of interest</w:t>
            </w:r>
          </w:p>
          <w:p w:rsidR="005A2355" w:rsidRPr="000A4829" w:rsidRDefault="005A2355" w:rsidP="00913BA8">
            <w:pPr>
              <w:rPr>
                <w:rFonts w:ascii="Arial" w:hAnsi="Arial" w:cs="Arial"/>
              </w:rPr>
            </w:pPr>
          </w:p>
          <w:p w:rsidR="000C44ED" w:rsidRPr="000A4829" w:rsidRDefault="00CD5DC5" w:rsidP="002F729F">
            <w:pPr>
              <w:rPr>
                <w:rFonts w:ascii="Arial" w:hAnsi="Arial" w:cs="Arial"/>
              </w:rPr>
            </w:pPr>
            <w:r w:rsidRPr="000A4829">
              <w:rPr>
                <w:rFonts w:ascii="Arial" w:hAnsi="Arial" w:cs="Arial"/>
              </w:rPr>
              <w:t xml:space="preserve">Kaliani Lyle declared </w:t>
            </w:r>
            <w:r w:rsidR="000E4CB8">
              <w:rPr>
                <w:rFonts w:ascii="Arial" w:hAnsi="Arial" w:cs="Arial"/>
              </w:rPr>
              <w:t>a</w:t>
            </w:r>
            <w:r w:rsidRPr="000A4829">
              <w:rPr>
                <w:rFonts w:ascii="Arial" w:hAnsi="Arial" w:cs="Arial"/>
              </w:rPr>
              <w:t xml:space="preserve">n interest in respect of Board Paper </w:t>
            </w:r>
            <w:r w:rsidR="00817C51">
              <w:rPr>
                <w:rFonts w:ascii="Arial" w:hAnsi="Arial" w:cs="Arial"/>
              </w:rPr>
              <w:t>365</w:t>
            </w:r>
            <w:r w:rsidRPr="000A4829">
              <w:rPr>
                <w:rFonts w:ascii="Arial" w:hAnsi="Arial" w:cs="Arial"/>
              </w:rPr>
              <w:t xml:space="preserve">, the Chief Executive’s Report (section on Scottish Charity Appeals Panel hearing of an appeal by St Margaret’s Children and Family Care Society) as Scotland Commissioner for the Equality and Human Rights Commission. </w:t>
            </w:r>
          </w:p>
          <w:p w:rsidR="00CD5DC5" w:rsidRPr="000A4829" w:rsidRDefault="00CD5DC5" w:rsidP="002F729F">
            <w:pPr>
              <w:rPr>
                <w:rFonts w:ascii="Arial" w:hAnsi="Arial" w:cs="Arial"/>
              </w:rPr>
            </w:pPr>
          </w:p>
        </w:tc>
        <w:tc>
          <w:tcPr>
            <w:tcW w:w="1230" w:type="dxa"/>
          </w:tcPr>
          <w:p w:rsidR="005A2355" w:rsidRPr="000A4829" w:rsidRDefault="005A2355" w:rsidP="00913BA8">
            <w:pPr>
              <w:rPr>
                <w:rFonts w:ascii="Arial" w:hAnsi="Arial" w:cs="Arial"/>
                <w:b/>
              </w:rPr>
            </w:pPr>
          </w:p>
          <w:p w:rsidR="005A2355" w:rsidRPr="000A4829" w:rsidRDefault="005A2355" w:rsidP="00913BA8">
            <w:pPr>
              <w:rPr>
                <w:rFonts w:ascii="Arial" w:hAnsi="Arial" w:cs="Arial"/>
                <w:b/>
              </w:rPr>
            </w:pPr>
          </w:p>
          <w:p w:rsidR="005A2355" w:rsidRPr="000A4829" w:rsidRDefault="005A2355" w:rsidP="00913BA8">
            <w:pPr>
              <w:rPr>
                <w:rFonts w:ascii="Arial" w:hAnsi="Arial" w:cs="Arial"/>
                <w:b/>
              </w:rPr>
            </w:pPr>
          </w:p>
        </w:tc>
      </w:tr>
      <w:tr w:rsidR="00AF6BE4" w:rsidRPr="000A4829" w:rsidTr="008A1E0B">
        <w:trPr>
          <w:trHeight w:val="1408"/>
        </w:trPr>
        <w:tc>
          <w:tcPr>
            <w:tcW w:w="798" w:type="dxa"/>
          </w:tcPr>
          <w:p w:rsidR="00AF6BE4" w:rsidRPr="000A4829" w:rsidRDefault="00AF6BE4" w:rsidP="00F75D74">
            <w:pPr>
              <w:rPr>
                <w:rFonts w:ascii="Arial" w:hAnsi="Arial" w:cs="Arial"/>
                <w:b/>
              </w:rPr>
            </w:pPr>
            <w:r w:rsidRPr="000A4829">
              <w:rPr>
                <w:rFonts w:ascii="Arial" w:hAnsi="Arial" w:cs="Arial"/>
                <w:b/>
              </w:rPr>
              <w:lastRenderedPageBreak/>
              <w:br w:type="page"/>
            </w:r>
            <w:r w:rsidR="00F75D74" w:rsidRPr="000A4829">
              <w:rPr>
                <w:rFonts w:ascii="Arial" w:hAnsi="Arial" w:cs="Arial"/>
                <w:b/>
              </w:rPr>
              <w:t>3.</w:t>
            </w:r>
          </w:p>
        </w:tc>
        <w:tc>
          <w:tcPr>
            <w:tcW w:w="6540" w:type="dxa"/>
          </w:tcPr>
          <w:p w:rsidR="00AF6BE4" w:rsidRPr="000A4829" w:rsidRDefault="00AF6BE4" w:rsidP="00C17B51">
            <w:pPr>
              <w:rPr>
                <w:rFonts w:ascii="Arial" w:hAnsi="Arial" w:cs="Arial"/>
              </w:rPr>
            </w:pPr>
            <w:r w:rsidRPr="000A4829">
              <w:rPr>
                <w:rFonts w:ascii="Arial" w:hAnsi="Arial" w:cs="Arial"/>
                <w:b/>
              </w:rPr>
              <w:t xml:space="preserve">Agenda Item 1: </w:t>
            </w:r>
            <w:r w:rsidR="001E7FF3" w:rsidRPr="000A4829">
              <w:rPr>
                <w:rFonts w:ascii="Arial" w:hAnsi="Arial" w:cs="Arial"/>
                <w:b/>
              </w:rPr>
              <w:t xml:space="preserve">Minutes of previous meeting – </w:t>
            </w:r>
            <w:r w:rsidR="00CD5DC5" w:rsidRPr="000A4829">
              <w:rPr>
                <w:rFonts w:ascii="Arial" w:hAnsi="Arial" w:cs="Arial"/>
                <w:b/>
              </w:rPr>
              <w:t>12</w:t>
            </w:r>
            <w:r w:rsidR="00DD1345" w:rsidRPr="000A4829">
              <w:rPr>
                <w:rFonts w:ascii="Arial" w:hAnsi="Arial" w:cs="Arial"/>
                <w:b/>
              </w:rPr>
              <w:t xml:space="preserve"> </w:t>
            </w:r>
            <w:r w:rsidR="00CD5DC5" w:rsidRPr="000A4829">
              <w:rPr>
                <w:rFonts w:ascii="Arial" w:hAnsi="Arial" w:cs="Arial"/>
                <w:b/>
              </w:rPr>
              <w:t>September</w:t>
            </w:r>
            <w:r w:rsidR="00817C51">
              <w:rPr>
                <w:rFonts w:ascii="Arial" w:hAnsi="Arial" w:cs="Arial"/>
                <w:b/>
              </w:rPr>
              <w:t xml:space="preserve"> 2013</w:t>
            </w:r>
            <w:r w:rsidR="000C44ED" w:rsidRPr="000A4829">
              <w:rPr>
                <w:rFonts w:ascii="Arial" w:hAnsi="Arial" w:cs="Arial"/>
                <w:b/>
              </w:rPr>
              <w:t xml:space="preserve"> and matters arising</w:t>
            </w:r>
          </w:p>
          <w:p w:rsidR="00AF6BE4" w:rsidRPr="000A4829" w:rsidRDefault="00AF6BE4" w:rsidP="00C17B51">
            <w:pPr>
              <w:rPr>
                <w:rFonts w:ascii="Arial" w:hAnsi="Arial" w:cs="Arial"/>
              </w:rPr>
            </w:pPr>
          </w:p>
          <w:p w:rsidR="00CD5DC5" w:rsidRPr="000A4829" w:rsidRDefault="001E7FF3" w:rsidP="00CD5DC5">
            <w:pPr>
              <w:rPr>
                <w:rFonts w:ascii="Arial" w:hAnsi="Arial" w:cs="Arial"/>
              </w:rPr>
            </w:pPr>
            <w:r w:rsidRPr="000A4829">
              <w:rPr>
                <w:rFonts w:ascii="Arial" w:hAnsi="Arial" w:cs="Arial"/>
              </w:rPr>
              <w:t>Minutes approved.</w:t>
            </w:r>
            <w:r w:rsidR="00DD1345" w:rsidRPr="000A4829">
              <w:rPr>
                <w:rFonts w:ascii="Arial" w:hAnsi="Arial" w:cs="Arial"/>
              </w:rPr>
              <w:t xml:space="preserve"> </w:t>
            </w:r>
          </w:p>
          <w:p w:rsidR="00DD1345" w:rsidRPr="000A4829" w:rsidRDefault="00CD5DC5" w:rsidP="00CD5DC5">
            <w:pPr>
              <w:rPr>
                <w:rFonts w:ascii="Arial" w:hAnsi="Arial" w:cs="Arial"/>
              </w:rPr>
            </w:pPr>
            <w:r w:rsidRPr="000A4829">
              <w:rPr>
                <w:rFonts w:ascii="Arial" w:hAnsi="Arial" w:cs="Arial"/>
              </w:rPr>
              <w:t>T</w:t>
            </w:r>
            <w:r w:rsidR="00DD1345" w:rsidRPr="000A4829">
              <w:rPr>
                <w:rFonts w:ascii="Arial" w:hAnsi="Arial" w:cs="Arial"/>
              </w:rPr>
              <w:t>here were no matters arising.</w:t>
            </w:r>
          </w:p>
        </w:tc>
        <w:tc>
          <w:tcPr>
            <w:tcW w:w="1230" w:type="dxa"/>
          </w:tcPr>
          <w:p w:rsidR="00AF6BE4" w:rsidRPr="000A4829" w:rsidRDefault="00AF6BE4" w:rsidP="00913BA8">
            <w:pPr>
              <w:rPr>
                <w:rFonts w:ascii="Arial" w:hAnsi="Arial" w:cs="Arial"/>
                <w:b/>
              </w:rPr>
            </w:pPr>
          </w:p>
          <w:p w:rsidR="00352F13" w:rsidRPr="000A4829" w:rsidRDefault="00352F13" w:rsidP="00913BA8">
            <w:pPr>
              <w:rPr>
                <w:rFonts w:ascii="Arial" w:hAnsi="Arial" w:cs="Arial"/>
                <w:b/>
              </w:rPr>
            </w:pPr>
          </w:p>
          <w:p w:rsidR="00C17B51" w:rsidRPr="000A4829" w:rsidRDefault="00C17B51" w:rsidP="00913BA8">
            <w:pPr>
              <w:rPr>
                <w:rFonts w:ascii="Arial" w:hAnsi="Arial" w:cs="Arial"/>
                <w:b/>
              </w:rPr>
            </w:pPr>
          </w:p>
          <w:p w:rsidR="00C17B51" w:rsidRPr="000A4829" w:rsidRDefault="00C17B51" w:rsidP="00913BA8">
            <w:pPr>
              <w:rPr>
                <w:rFonts w:ascii="Arial" w:hAnsi="Arial" w:cs="Arial"/>
                <w:b/>
              </w:rPr>
            </w:pPr>
          </w:p>
        </w:tc>
      </w:tr>
      <w:tr w:rsidR="001E7FF3" w:rsidRPr="000A4829" w:rsidTr="007628DB">
        <w:trPr>
          <w:trHeight w:val="1124"/>
        </w:trPr>
        <w:tc>
          <w:tcPr>
            <w:tcW w:w="798" w:type="dxa"/>
          </w:tcPr>
          <w:p w:rsidR="001E7FF3" w:rsidRPr="000A4829" w:rsidRDefault="001E7FF3" w:rsidP="00F75D74">
            <w:pPr>
              <w:rPr>
                <w:rFonts w:ascii="Arial" w:hAnsi="Arial" w:cs="Arial"/>
                <w:b/>
              </w:rPr>
            </w:pPr>
            <w:r w:rsidRPr="000A4829">
              <w:rPr>
                <w:rFonts w:ascii="Arial" w:hAnsi="Arial" w:cs="Arial"/>
                <w:b/>
              </w:rPr>
              <w:t xml:space="preserve">4. </w:t>
            </w:r>
          </w:p>
        </w:tc>
        <w:tc>
          <w:tcPr>
            <w:tcW w:w="6540" w:type="dxa"/>
          </w:tcPr>
          <w:p w:rsidR="001E7FF3" w:rsidRPr="000A4829" w:rsidRDefault="001E7FF3" w:rsidP="00C17B51">
            <w:pPr>
              <w:rPr>
                <w:rFonts w:ascii="Arial" w:hAnsi="Arial" w:cs="Arial"/>
                <w:b/>
              </w:rPr>
            </w:pPr>
            <w:r w:rsidRPr="000A4829">
              <w:rPr>
                <w:rFonts w:ascii="Arial" w:hAnsi="Arial" w:cs="Arial"/>
                <w:b/>
              </w:rPr>
              <w:t>Agenda Item 2: Chief Executive’s Report</w:t>
            </w:r>
          </w:p>
          <w:p w:rsidR="00071BAE" w:rsidRPr="000A4829" w:rsidRDefault="00071BAE" w:rsidP="00CD5DC5">
            <w:pPr>
              <w:rPr>
                <w:rFonts w:ascii="Arial" w:hAnsi="Arial" w:cs="Arial"/>
              </w:rPr>
            </w:pPr>
          </w:p>
          <w:p w:rsidR="00463248" w:rsidRPr="000A4829" w:rsidRDefault="00463248" w:rsidP="00463248">
            <w:pPr>
              <w:rPr>
                <w:rFonts w:ascii="Arial" w:hAnsi="Arial" w:cs="Arial"/>
              </w:rPr>
            </w:pPr>
            <w:r w:rsidRPr="000A4829">
              <w:rPr>
                <w:rFonts w:ascii="Arial" w:hAnsi="Arial" w:cs="Arial"/>
              </w:rPr>
              <w:t xml:space="preserve">The Chief Executive introduced paper 365. Regarding performance information, the Registration and Enforcement teams </w:t>
            </w:r>
            <w:r w:rsidR="00817C51">
              <w:rPr>
                <w:rFonts w:ascii="Arial" w:hAnsi="Arial" w:cs="Arial"/>
              </w:rPr>
              <w:t>are</w:t>
            </w:r>
            <w:r w:rsidRPr="000A4829">
              <w:rPr>
                <w:rFonts w:ascii="Arial" w:hAnsi="Arial" w:cs="Arial"/>
              </w:rPr>
              <w:t xml:space="preserve"> making good progress in handling caseloads. The Head of Registration noted there were particular pressures building because of an increase</w:t>
            </w:r>
            <w:r w:rsidR="000E4CB8">
              <w:rPr>
                <w:rFonts w:ascii="Arial" w:hAnsi="Arial" w:cs="Arial"/>
              </w:rPr>
              <w:t xml:space="preserve">d </w:t>
            </w:r>
            <w:r w:rsidR="00817C51">
              <w:rPr>
                <w:rFonts w:ascii="Arial" w:hAnsi="Arial" w:cs="Arial"/>
              </w:rPr>
              <w:t xml:space="preserve">number of </w:t>
            </w:r>
            <w:r w:rsidRPr="000A4829">
              <w:rPr>
                <w:rFonts w:ascii="Arial" w:hAnsi="Arial" w:cs="Arial"/>
              </w:rPr>
              <w:t>local authorities seeking to reorganise char</w:t>
            </w:r>
            <w:r w:rsidR="000E4CB8">
              <w:rPr>
                <w:rFonts w:ascii="Arial" w:hAnsi="Arial" w:cs="Arial"/>
              </w:rPr>
              <w:t>iti</w:t>
            </w:r>
            <w:r w:rsidRPr="000A4829">
              <w:rPr>
                <w:rFonts w:ascii="Arial" w:hAnsi="Arial" w:cs="Arial"/>
              </w:rPr>
              <w:t xml:space="preserve">es they oversee </w:t>
            </w:r>
            <w:r w:rsidR="00817C51">
              <w:rPr>
                <w:rFonts w:ascii="Arial" w:hAnsi="Arial" w:cs="Arial"/>
              </w:rPr>
              <w:t xml:space="preserve">to avoid new requirements </w:t>
            </w:r>
            <w:r w:rsidRPr="000A4829">
              <w:rPr>
                <w:rFonts w:ascii="Arial" w:hAnsi="Arial" w:cs="Arial"/>
              </w:rPr>
              <w:t>to do separate audits for every charity and to address</w:t>
            </w:r>
            <w:r w:rsidR="00817C51">
              <w:rPr>
                <w:rFonts w:ascii="Arial" w:hAnsi="Arial" w:cs="Arial"/>
              </w:rPr>
              <w:t xml:space="preserve"> problems because some charity’s</w:t>
            </w:r>
            <w:r w:rsidRPr="000A4829">
              <w:rPr>
                <w:rFonts w:ascii="Arial" w:hAnsi="Arial" w:cs="Arial"/>
              </w:rPr>
              <w:t xml:space="preserve"> purposes are outdated. He said the team is working with local authorities to try and avoid a bottleneck in applications at the end of the year. This will ultimately </w:t>
            </w:r>
            <w:r w:rsidR="00817C51">
              <w:rPr>
                <w:rFonts w:ascii="Arial" w:hAnsi="Arial" w:cs="Arial"/>
              </w:rPr>
              <w:t xml:space="preserve">help </w:t>
            </w:r>
            <w:r w:rsidRPr="000A4829">
              <w:rPr>
                <w:rFonts w:ascii="Arial" w:hAnsi="Arial" w:cs="Arial"/>
              </w:rPr>
              <w:t xml:space="preserve">efficiency because </w:t>
            </w:r>
            <w:r w:rsidR="00817C51">
              <w:rPr>
                <w:rFonts w:ascii="Arial" w:hAnsi="Arial" w:cs="Arial"/>
              </w:rPr>
              <w:t xml:space="preserve">there will be </w:t>
            </w:r>
            <w:r w:rsidRPr="000A4829">
              <w:rPr>
                <w:rFonts w:ascii="Arial" w:hAnsi="Arial" w:cs="Arial"/>
              </w:rPr>
              <w:t xml:space="preserve">slightly fewer charities on the Register. The Chief Executive noted this is good news too for potential beneficiaries since these reorganisations will help liberate more charitable assets to be used for public benefit.  </w:t>
            </w:r>
          </w:p>
          <w:p w:rsidR="000A4829" w:rsidRPr="000A4829" w:rsidRDefault="000A4829" w:rsidP="00463248">
            <w:pPr>
              <w:rPr>
                <w:rFonts w:ascii="Arial" w:hAnsi="Arial" w:cs="Arial"/>
              </w:rPr>
            </w:pPr>
          </w:p>
          <w:p w:rsidR="00463248" w:rsidRPr="000A4829" w:rsidRDefault="00463248" w:rsidP="00463248">
            <w:pPr>
              <w:rPr>
                <w:rFonts w:ascii="Arial" w:hAnsi="Arial" w:cs="Arial"/>
              </w:rPr>
            </w:pPr>
            <w:r w:rsidRPr="000A4829">
              <w:rPr>
                <w:rFonts w:ascii="Arial" w:hAnsi="Arial" w:cs="Arial"/>
              </w:rPr>
              <w:t xml:space="preserve">The Head of Enforcement updated the Board on an inquiry into a charity where the team is liaising with the police and considering next steps. </w:t>
            </w:r>
          </w:p>
          <w:p w:rsidR="000A4829" w:rsidRPr="000A4829" w:rsidRDefault="000A4829" w:rsidP="00463248">
            <w:pPr>
              <w:rPr>
                <w:rFonts w:ascii="Arial" w:hAnsi="Arial" w:cs="Arial"/>
              </w:rPr>
            </w:pPr>
          </w:p>
          <w:p w:rsidR="00463248" w:rsidRPr="000A4829" w:rsidRDefault="00463248" w:rsidP="00463248">
            <w:pPr>
              <w:rPr>
                <w:rFonts w:ascii="Arial" w:hAnsi="Arial" w:cs="Arial"/>
              </w:rPr>
            </w:pPr>
            <w:r w:rsidRPr="000A4829">
              <w:rPr>
                <w:rFonts w:ascii="Arial" w:hAnsi="Arial" w:cs="Arial"/>
              </w:rPr>
              <w:t xml:space="preserve">The Head of Registration noted he had no further update on the </w:t>
            </w:r>
            <w:r w:rsidR="00817C51" w:rsidRPr="000A4829">
              <w:rPr>
                <w:rFonts w:ascii="Arial" w:hAnsi="Arial" w:cs="Arial"/>
              </w:rPr>
              <w:t xml:space="preserve">St Margaret’s Children and Family Care Society </w:t>
            </w:r>
            <w:r w:rsidR="00817C51">
              <w:rPr>
                <w:rFonts w:ascii="Arial" w:hAnsi="Arial" w:cs="Arial"/>
              </w:rPr>
              <w:t xml:space="preserve">appeal </w:t>
            </w:r>
            <w:r w:rsidRPr="000A4829">
              <w:rPr>
                <w:rFonts w:ascii="Arial" w:hAnsi="Arial" w:cs="Arial"/>
              </w:rPr>
              <w:t xml:space="preserve">currently before </w:t>
            </w:r>
            <w:r w:rsidR="00817C51">
              <w:rPr>
                <w:rFonts w:ascii="Arial" w:hAnsi="Arial" w:cs="Arial"/>
              </w:rPr>
              <w:t>SCAP</w:t>
            </w:r>
            <w:r w:rsidRPr="000A4829">
              <w:rPr>
                <w:rFonts w:ascii="Arial" w:hAnsi="Arial" w:cs="Arial"/>
              </w:rPr>
              <w:t xml:space="preserve">. The Panel has indicated it will return a decision by </w:t>
            </w:r>
            <w:r w:rsidR="00DD1080">
              <w:rPr>
                <w:rFonts w:ascii="Arial" w:hAnsi="Arial" w:cs="Arial"/>
              </w:rPr>
              <w:t>3</w:t>
            </w:r>
            <w:r w:rsidR="00DD1080" w:rsidRPr="000A4829">
              <w:rPr>
                <w:rFonts w:ascii="Arial" w:hAnsi="Arial" w:cs="Arial"/>
              </w:rPr>
              <w:t xml:space="preserve">1 </w:t>
            </w:r>
            <w:r w:rsidRPr="000A4829">
              <w:rPr>
                <w:rFonts w:ascii="Arial" w:hAnsi="Arial" w:cs="Arial"/>
              </w:rPr>
              <w:t>January 2014. He also said that the case had been referred to by the Equal Opportunities Committee in its discussions on Equal Marriage. There has also been</w:t>
            </w:r>
            <w:r w:rsidR="00DD1080">
              <w:rPr>
                <w:rFonts w:ascii="Arial" w:hAnsi="Arial" w:cs="Arial"/>
              </w:rPr>
              <w:t>, in connection with the passage through the Scottish Parliament of the Equal Marriage Bill,</w:t>
            </w:r>
            <w:r w:rsidRPr="000A4829">
              <w:rPr>
                <w:rFonts w:ascii="Arial" w:hAnsi="Arial" w:cs="Arial"/>
              </w:rPr>
              <w:t xml:space="preserve"> a parliamentary question asking what view OSCR might take about the charitable status of a church that spoke out against same-sex marriage.</w:t>
            </w:r>
            <w:r w:rsidR="00817C51">
              <w:rPr>
                <w:rFonts w:ascii="Arial" w:hAnsi="Arial" w:cs="Arial"/>
              </w:rPr>
              <w:t xml:space="preserve"> </w:t>
            </w:r>
            <w:r w:rsidRPr="000A4829">
              <w:rPr>
                <w:rFonts w:ascii="Arial" w:hAnsi="Arial" w:cs="Arial"/>
              </w:rPr>
              <w:t xml:space="preserve">OSCR’s advice was that providing the charity was acting in furtherance of its purposes this action would be unlikely to affect its charitable status. He offered to circulate the answer to the PQ to the Board when it was finalised. </w:t>
            </w:r>
          </w:p>
          <w:p w:rsidR="00817C51" w:rsidRDefault="00817C51" w:rsidP="00463248">
            <w:pPr>
              <w:rPr>
                <w:rFonts w:ascii="Arial" w:hAnsi="Arial" w:cs="Arial"/>
              </w:rPr>
            </w:pPr>
          </w:p>
          <w:p w:rsidR="00463248" w:rsidRPr="000A4829" w:rsidRDefault="00463248" w:rsidP="00463248">
            <w:pPr>
              <w:rPr>
                <w:rFonts w:ascii="Arial" w:hAnsi="Arial" w:cs="Arial"/>
              </w:rPr>
            </w:pPr>
            <w:r w:rsidRPr="000A4829">
              <w:rPr>
                <w:rFonts w:ascii="Arial" w:hAnsi="Arial" w:cs="Arial"/>
              </w:rPr>
              <w:t xml:space="preserve">The Chief Executive noted that staff had scheduled a meeting with the Head of the Tribunals Service to </w:t>
            </w:r>
            <w:r w:rsidR="00DD1080">
              <w:rPr>
                <w:rFonts w:ascii="Arial" w:hAnsi="Arial" w:cs="Arial"/>
              </w:rPr>
              <w:t xml:space="preserve">offer feedback on recent experience and to </w:t>
            </w:r>
            <w:r w:rsidRPr="000A4829">
              <w:rPr>
                <w:rFonts w:ascii="Arial" w:hAnsi="Arial" w:cs="Arial"/>
              </w:rPr>
              <w:t xml:space="preserve">register some concerns relating to the procedures of SCAP including </w:t>
            </w:r>
            <w:r w:rsidR="00DD1080">
              <w:rPr>
                <w:rFonts w:ascii="Arial" w:hAnsi="Arial" w:cs="Arial"/>
              </w:rPr>
              <w:t>the issue of</w:t>
            </w:r>
            <w:r w:rsidR="00DD1080" w:rsidRPr="000A4829">
              <w:rPr>
                <w:rFonts w:ascii="Arial" w:hAnsi="Arial" w:cs="Arial"/>
              </w:rPr>
              <w:t xml:space="preserve"> </w:t>
            </w:r>
            <w:r w:rsidRPr="000A4829">
              <w:rPr>
                <w:rFonts w:ascii="Arial" w:hAnsi="Arial" w:cs="Arial"/>
              </w:rPr>
              <w:t xml:space="preserve">decisions without supporting reasons. Board members said </w:t>
            </w:r>
            <w:r w:rsidR="000E4CB8">
              <w:rPr>
                <w:rFonts w:ascii="Arial" w:hAnsi="Arial" w:cs="Arial"/>
              </w:rPr>
              <w:t xml:space="preserve">an appellant might be </w:t>
            </w:r>
            <w:r w:rsidRPr="000A4829">
              <w:rPr>
                <w:rFonts w:ascii="Arial" w:hAnsi="Arial" w:cs="Arial"/>
              </w:rPr>
              <w:t>prejudice</w:t>
            </w:r>
            <w:r w:rsidR="000E4CB8">
              <w:rPr>
                <w:rFonts w:ascii="Arial" w:hAnsi="Arial" w:cs="Arial"/>
              </w:rPr>
              <w:t>d</w:t>
            </w:r>
            <w:r w:rsidRPr="000A4829">
              <w:rPr>
                <w:rFonts w:ascii="Arial" w:hAnsi="Arial" w:cs="Arial"/>
              </w:rPr>
              <w:t xml:space="preserve"> where a </w:t>
            </w:r>
            <w:r w:rsidRPr="000A4829">
              <w:rPr>
                <w:rFonts w:ascii="Arial" w:hAnsi="Arial" w:cs="Arial"/>
              </w:rPr>
              <w:lastRenderedPageBreak/>
              <w:t xml:space="preserve">decision went against them but the reasons were not available. </w:t>
            </w:r>
          </w:p>
          <w:p w:rsidR="00817C51" w:rsidRDefault="00817C51" w:rsidP="00463248">
            <w:pPr>
              <w:rPr>
                <w:rFonts w:ascii="Arial" w:hAnsi="Arial" w:cs="Arial"/>
              </w:rPr>
            </w:pPr>
          </w:p>
          <w:p w:rsidR="00817C51" w:rsidRDefault="00463248" w:rsidP="00463248">
            <w:pPr>
              <w:rPr>
                <w:rFonts w:ascii="Arial" w:hAnsi="Arial" w:cs="Arial"/>
              </w:rPr>
            </w:pPr>
            <w:r w:rsidRPr="000A4829">
              <w:rPr>
                <w:rFonts w:ascii="Arial" w:hAnsi="Arial" w:cs="Arial"/>
              </w:rPr>
              <w:t xml:space="preserve">The Head of Registration said that </w:t>
            </w:r>
            <w:r w:rsidR="00DD1080" w:rsidRPr="000A4829">
              <w:rPr>
                <w:rFonts w:ascii="Arial" w:hAnsi="Arial" w:cs="Arial"/>
              </w:rPr>
              <w:t xml:space="preserve">decisions </w:t>
            </w:r>
            <w:r w:rsidRPr="000A4829">
              <w:rPr>
                <w:rFonts w:ascii="Arial" w:hAnsi="Arial" w:cs="Arial"/>
              </w:rPr>
              <w:t xml:space="preserve">would be </w:t>
            </w:r>
            <w:proofErr w:type="gramStart"/>
            <w:r w:rsidRPr="000A4829">
              <w:rPr>
                <w:rFonts w:ascii="Arial" w:hAnsi="Arial" w:cs="Arial"/>
              </w:rPr>
              <w:t>announc</w:t>
            </w:r>
            <w:r w:rsidR="00DD1080">
              <w:rPr>
                <w:rFonts w:ascii="Arial" w:hAnsi="Arial" w:cs="Arial"/>
              </w:rPr>
              <w:t xml:space="preserve">ed </w:t>
            </w:r>
            <w:r w:rsidRPr="000A4829">
              <w:rPr>
                <w:rFonts w:ascii="Arial" w:hAnsi="Arial" w:cs="Arial"/>
              </w:rPr>
              <w:t xml:space="preserve"> shortly</w:t>
            </w:r>
            <w:proofErr w:type="gramEnd"/>
            <w:r w:rsidRPr="000A4829">
              <w:rPr>
                <w:rFonts w:ascii="Arial" w:hAnsi="Arial" w:cs="Arial"/>
              </w:rPr>
              <w:t xml:space="preserve"> about further schools that were subject to individual assessment </w:t>
            </w:r>
            <w:r w:rsidR="00DD1080">
              <w:rPr>
                <w:rFonts w:ascii="Arial" w:hAnsi="Arial" w:cs="Arial"/>
              </w:rPr>
              <w:t>and some</w:t>
            </w:r>
            <w:r w:rsidRPr="000A4829">
              <w:rPr>
                <w:rFonts w:ascii="Arial" w:hAnsi="Arial" w:cs="Arial"/>
              </w:rPr>
              <w:t xml:space="preserve"> where directions have </w:t>
            </w:r>
            <w:r w:rsidR="00DD1080">
              <w:rPr>
                <w:rFonts w:ascii="Arial" w:hAnsi="Arial" w:cs="Arial"/>
              </w:rPr>
              <w:t xml:space="preserve">already </w:t>
            </w:r>
            <w:r w:rsidRPr="000A4829">
              <w:rPr>
                <w:rFonts w:ascii="Arial" w:hAnsi="Arial" w:cs="Arial"/>
              </w:rPr>
              <w:t xml:space="preserve">been issued for them to meet the charity test. Meetings with individual schools have been reasonably constructive. A further batch of decisions is expected in November. There are still a few schools that have not been reviewed in terms of their charitable status and in some cases these are more complex because of </w:t>
            </w:r>
            <w:r w:rsidR="006C5901">
              <w:rPr>
                <w:rFonts w:ascii="Arial" w:hAnsi="Arial" w:cs="Arial"/>
              </w:rPr>
              <w:t xml:space="preserve">interest from other regulators. </w:t>
            </w:r>
          </w:p>
          <w:p w:rsidR="006C5901" w:rsidRDefault="006C5901" w:rsidP="00463248">
            <w:pPr>
              <w:rPr>
                <w:rFonts w:ascii="Arial" w:hAnsi="Arial" w:cs="Arial"/>
              </w:rPr>
            </w:pPr>
          </w:p>
          <w:p w:rsidR="00463248" w:rsidRPr="000A4829" w:rsidRDefault="00463248" w:rsidP="00463248">
            <w:pPr>
              <w:rPr>
                <w:rFonts w:ascii="Arial" w:hAnsi="Arial" w:cs="Arial"/>
              </w:rPr>
            </w:pPr>
            <w:r w:rsidRPr="000A4829">
              <w:rPr>
                <w:rFonts w:ascii="Arial" w:hAnsi="Arial" w:cs="Arial"/>
              </w:rPr>
              <w:t>The Chief Executive reported on engagement activity</w:t>
            </w:r>
            <w:r w:rsidR="000E4CB8">
              <w:rPr>
                <w:rFonts w:ascii="Arial" w:hAnsi="Arial" w:cs="Arial"/>
              </w:rPr>
              <w:t>,</w:t>
            </w:r>
            <w:r w:rsidRPr="000A4829">
              <w:rPr>
                <w:rFonts w:ascii="Arial" w:hAnsi="Arial" w:cs="Arial"/>
              </w:rPr>
              <w:t xml:space="preserve"> including for Trustees Week where there had been </w:t>
            </w:r>
            <w:r w:rsidR="00DD1080">
              <w:rPr>
                <w:rFonts w:ascii="Arial" w:hAnsi="Arial" w:cs="Arial"/>
              </w:rPr>
              <w:t xml:space="preserve">a number of </w:t>
            </w:r>
            <w:r w:rsidRPr="000A4829">
              <w:rPr>
                <w:rFonts w:ascii="Arial" w:hAnsi="Arial" w:cs="Arial"/>
              </w:rPr>
              <w:t xml:space="preserve">meetings with trustees and a special blog page started on the website. He noted that the annual programme of Meet the Charity Regulator events </w:t>
            </w:r>
            <w:r w:rsidR="000E4CB8">
              <w:rPr>
                <w:rFonts w:ascii="Arial" w:hAnsi="Arial" w:cs="Arial"/>
              </w:rPr>
              <w:t xml:space="preserve">had been </w:t>
            </w:r>
            <w:r w:rsidRPr="000A4829">
              <w:rPr>
                <w:rFonts w:ascii="Arial" w:hAnsi="Arial" w:cs="Arial"/>
              </w:rPr>
              <w:t>complete</w:t>
            </w:r>
            <w:r w:rsidR="000E4CB8">
              <w:rPr>
                <w:rFonts w:ascii="Arial" w:hAnsi="Arial" w:cs="Arial"/>
              </w:rPr>
              <w:t>d</w:t>
            </w:r>
            <w:r w:rsidRPr="000A4829">
              <w:rPr>
                <w:rFonts w:ascii="Arial" w:hAnsi="Arial" w:cs="Arial"/>
              </w:rPr>
              <w:t xml:space="preserve">. Board members said they would like to see similar regional events in future. They also suggested doing evaluation of the events so far to inform the future events programme. </w:t>
            </w:r>
          </w:p>
          <w:p w:rsidR="00817C51" w:rsidRDefault="00817C51" w:rsidP="00463248">
            <w:pPr>
              <w:rPr>
                <w:rFonts w:ascii="Arial" w:hAnsi="Arial" w:cs="Arial"/>
              </w:rPr>
            </w:pPr>
          </w:p>
          <w:p w:rsidR="00463248" w:rsidRPr="000A4829" w:rsidRDefault="00463248" w:rsidP="00463248">
            <w:pPr>
              <w:rPr>
                <w:rFonts w:ascii="Arial" w:hAnsi="Arial" w:cs="Arial"/>
              </w:rPr>
            </w:pPr>
            <w:r w:rsidRPr="000A4829">
              <w:rPr>
                <w:rFonts w:ascii="Arial" w:hAnsi="Arial" w:cs="Arial"/>
              </w:rPr>
              <w:t>The Chair said he was about to take part in short</w:t>
            </w:r>
            <w:r w:rsidR="00817C51">
              <w:rPr>
                <w:rFonts w:ascii="Arial" w:hAnsi="Arial" w:cs="Arial"/>
              </w:rPr>
              <w:t>-</w:t>
            </w:r>
            <w:r w:rsidRPr="000A4829">
              <w:rPr>
                <w:rFonts w:ascii="Arial" w:hAnsi="Arial" w:cs="Arial"/>
              </w:rPr>
              <w:t xml:space="preserve">listing for </w:t>
            </w:r>
            <w:r w:rsidR="00DD1080">
              <w:rPr>
                <w:rFonts w:ascii="Arial" w:hAnsi="Arial" w:cs="Arial"/>
              </w:rPr>
              <w:t xml:space="preserve">three </w:t>
            </w:r>
            <w:r w:rsidRPr="000A4829">
              <w:rPr>
                <w:rFonts w:ascii="Arial" w:hAnsi="Arial" w:cs="Arial"/>
              </w:rPr>
              <w:t xml:space="preserve">new Board members as part of the public appointments process. Board members noted that there might be a gap of a couple of weeks between when the two outgoing members stood down and the new members took up post. They said it would be preferable to have a full Board over a period when decisions relating to SCAP cases might be required quickly. The Chair said he would raise the possibility of a short continuation to cover this period with Scottish Government. </w:t>
            </w:r>
          </w:p>
          <w:p w:rsidR="00817C51" w:rsidRDefault="00817C51" w:rsidP="00463248">
            <w:pPr>
              <w:rPr>
                <w:rFonts w:ascii="Arial" w:hAnsi="Arial" w:cs="Arial"/>
              </w:rPr>
            </w:pPr>
          </w:p>
          <w:p w:rsidR="00463248" w:rsidRPr="000A4829" w:rsidRDefault="00463248" w:rsidP="00463248">
            <w:pPr>
              <w:rPr>
                <w:rFonts w:ascii="Arial" w:hAnsi="Arial" w:cs="Arial"/>
              </w:rPr>
            </w:pPr>
            <w:r w:rsidRPr="000A4829">
              <w:rPr>
                <w:rFonts w:ascii="Arial" w:hAnsi="Arial" w:cs="Arial"/>
              </w:rPr>
              <w:t xml:space="preserve">The Chief Executive said that staff had had some constructive meetings with HMRC both in Dundee and at their offices in Bootle, as well as at a meeting with the Charity Commission in London. Members briefly discussed how HMRC determines eligibility for tax reliefs and the Chief Executive confirmed that this was decided by HMRC on basis of the English and Welsh definition of charity. </w:t>
            </w:r>
          </w:p>
          <w:p w:rsidR="00817C51" w:rsidRDefault="00817C51" w:rsidP="00463248">
            <w:pPr>
              <w:rPr>
                <w:rFonts w:ascii="Arial" w:hAnsi="Arial" w:cs="Arial"/>
              </w:rPr>
            </w:pPr>
          </w:p>
          <w:p w:rsidR="00463248" w:rsidRPr="000A4829" w:rsidRDefault="00463248" w:rsidP="00463248">
            <w:pPr>
              <w:rPr>
                <w:rFonts w:ascii="Arial" w:hAnsi="Arial" w:cs="Arial"/>
              </w:rPr>
            </w:pPr>
            <w:r w:rsidRPr="000A4829">
              <w:rPr>
                <w:rFonts w:ascii="Arial" w:hAnsi="Arial" w:cs="Arial"/>
              </w:rPr>
              <w:t xml:space="preserve">The Head of Enforcement reported that the consultation on the new charity SORP had received </w:t>
            </w:r>
            <w:r w:rsidR="006C5901">
              <w:rPr>
                <w:rFonts w:ascii="Arial" w:hAnsi="Arial" w:cs="Arial"/>
              </w:rPr>
              <w:t>over 160</w:t>
            </w:r>
            <w:r w:rsidRPr="000A4829">
              <w:rPr>
                <w:rFonts w:ascii="Arial" w:hAnsi="Arial" w:cs="Arial"/>
              </w:rPr>
              <w:t xml:space="preserve"> responses and that OSCR and the Charity Commission had held 26 events engaging 1,600 people in the consultation process. She noted this is the highest level of consultation yet achieved with a Charity SORP. </w:t>
            </w:r>
          </w:p>
          <w:p w:rsidR="00817C51" w:rsidRDefault="00817C51" w:rsidP="00463248">
            <w:pPr>
              <w:rPr>
                <w:rFonts w:ascii="Arial" w:hAnsi="Arial" w:cs="Arial"/>
              </w:rPr>
            </w:pPr>
          </w:p>
          <w:p w:rsidR="00463248" w:rsidRPr="000A4829" w:rsidRDefault="00463248" w:rsidP="00463248">
            <w:pPr>
              <w:rPr>
                <w:rFonts w:ascii="Arial" w:hAnsi="Arial" w:cs="Arial"/>
              </w:rPr>
            </w:pPr>
            <w:r w:rsidRPr="000A4829">
              <w:rPr>
                <w:rFonts w:ascii="Arial" w:hAnsi="Arial" w:cs="Arial"/>
              </w:rPr>
              <w:lastRenderedPageBreak/>
              <w:t xml:space="preserve">The Chief Executive set out plans for strategic scenario planning looking at what potential constitutional change might mean for OSCR as an organisation suggesting this should begin once the Scottish Government White Paper was published on 26 November. Board members also </w:t>
            </w:r>
            <w:r w:rsidR="00E40AAB">
              <w:rPr>
                <w:rFonts w:ascii="Arial" w:hAnsi="Arial" w:cs="Arial"/>
              </w:rPr>
              <w:t>suggested</w:t>
            </w:r>
            <w:r w:rsidR="00E40AAB" w:rsidRPr="000A4829">
              <w:rPr>
                <w:rFonts w:ascii="Arial" w:hAnsi="Arial" w:cs="Arial"/>
              </w:rPr>
              <w:t xml:space="preserve"> </w:t>
            </w:r>
            <w:r w:rsidRPr="000A4829">
              <w:rPr>
                <w:rFonts w:ascii="Arial" w:hAnsi="Arial" w:cs="Arial"/>
              </w:rPr>
              <w:t xml:space="preserve">having a factual briefing paper available to deal with any external inquiries covering those issues (such as tax) where changes would be necessary if there were constitutional change. </w:t>
            </w:r>
          </w:p>
          <w:p w:rsidR="00817C51" w:rsidRDefault="00817C51" w:rsidP="00463248">
            <w:pPr>
              <w:rPr>
                <w:rFonts w:ascii="Arial" w:hAnsi="Arial" w:cs="Arial"/>
              </w:rPr>
            </w:pPr>
          </w:p>
          <w:p w:rsidR="00463248" w:rsidRPr="000A4829" w:rsidRDefault="00463248" w:rsidP="00463248">
            <w:pPr>
              <w:rPr>
                <w:rFonts w:ascii="Arial" w:hAnsi="Arial" w:cs="Arial"/>
              </w:rPr>
            </w:pPr>
            <w:r w:rsidRPr="000A4829">
              <w:rPr>
                <w:rFonts w:ascii="Arial" w:hAnsi="Arial" w:cs="Arial"/>
              </w:rPr>
              <w:t>Regarding the summary of management accounts, the Chief Executive noted that there was an error under the item ‘leadership and governance costs’ where no cost had been allocated. He said that Board costs of £2,194 should be noted and this would be corrected. Board members asked that there should be commentary included in the future by staff indicating if they expected a variance to ge</w:t>
            </w:r>
            <w:r w:rsidR="003F5FAE">
              <w:rPr>
                <w:rFonts w:ascii="Arial" w:hAnsi="Arial" w:cs="Arial"/>
              </w:rPr>
              <w:t>t worse or better. The Head of Support</w:t>
            </w:r>
            <w:r w:rsidRPr="000A4829">
              <w:rPr>
                <w:rFonts w:ascii="Arial" w:hAnsi="Arial" w:cs="Arial"/>
              </w:rPr>
              <w:t xml:space="preserve"> Services said that senior management were discussing various projects still to be agreed and spending for the year would be confirmed at the end of November. She said there had been some knock-on effect from the delay to the SCAP decision in terms of legal fees and when these were expected. </w:t>
            </w:r>
            <w:proofErr w:type="gramStart"/>
            <w:r w:rsidRPr="000A4829">
              <w:rPr>
                <w:rFonts w:ascii="Arial" w:hAnsi="Arial" w:cs="Arial"/>
              </w:rPr>
              <w:t xml:space="preserve">Staff </w:t>
            </w:r>
            <w:r w:rsidR="00817C51">
              <w:rPr>
                <w:rFonts w:ascii="Arial" w:hAnsi="Arial" w:cs="Arial"/>
              </w:rPr>
              <w:t>a</w:t>
            </w:r>
            <w:r w:rsidRPr="000A4829">
              <w:rPr>
                <w:rFonts w:ascii="Arial" w:hAnsi="Arial" w:cs="Arial"/>
              </w:rPr>
              <w:t>re</w:t>
            </w:r>
            <w:proofErr w:type="gramEnd"/>
            <w:r w:rsidRPr="000A4829">
              <w:rPr>
                <w:rFonts w:ascii="Arial" w:hAnsi="Arial" w:cs="Arial"/>
              </w:rPr>
              <w:t xml:space="preserve"> looking at whether these might be brought forward. </w:t>
            </w:r>
          </w:p>
          <w:p w:rsidR="00463248" w:rsidRPr="000A4829" w:rsidRDefault="00463248" w:rsidP="00463248">
            <w:pPr>
              <w:rPr>
                <w:rFonts w:ascii="Arial" w:hAnsi="Arial" w:cs="Arial"/>
              </w:rPr>
            </w:pPr>
            <w:r w:rsidRPr="000A4829">
              <w:rPr>
                <w:rFonts w:ascii="Arial" w:hAnsi="Arial" w:cs="Arial"/>
              </w:rPr>
              <w:t xml:space="preserve">The Chief Executive reported that in terms of staff, the senior management team is now fully staffed and there had been two departures at manager level, one of which had been filled internally so far. </w:t>
            </w:r>
          </w:p>
          <w:p w:rsidR="00817C51" w:rsidRDefault="00817C51" w:rsidP="00463248">
            <w:pPr>
              <w:rPr>
                <w:rFonts w:ascii="Arial" w:hAnsi="Arial" w:cs="Arial"/>
              </w:rPr>
            </w:pPr>
          </w:p>
          <w:p w:rsidR="00463248" w:rsidRPr="000A4829" w:rsidRDefault="00463248" w:rsidP="00463248">
            <w:pPr>
              <w:rPr>
                <w:rFonts w:ascii="Arial" w:hAnsi="Arial" w:cs="Arial"/>
              </w:rPr>
            </w:pPr>
            <w:r w:rsidRPr="000A4829">
              <w:rPr>
                <w:rFonts w:ascii="Arial" w:hAnsi="Arial" w:cs="Arial"/>
              </w:rPr>
              <w:t xml:space="preserve">The Board </w:t>
            </w:r>
            <w:r w:rsidRPr="000A4829">
              <w:rPr>
                <w:rFonts w:ascii="Arial" w:hAnsi="Arial" w:cs="Arial"/>
                <w:b/>
              </w:rPr>
              <w:t>noted</w:t>
            </w:r>
            <w:r w:rsidRPr="000A4829">
              <w:rPr>
                <w:rFonts w:ascii="Arial" w:hAnsi="Arial" w:cs="Arial"/>
              </w:rPr>
              <w:t xml:space="preserve"> the report. </w:t>
            </w:r>
          </w:p>
          <w:p w:rsidR="00463248" w:rsidRPr="000A4829" w:rsidRDefault="00463248" w:rsidP="00463248">
            <w:pPr>
              <w:rPr>
                <w:rFonts w:ascii="Arial" w:hAnsi="Arial" w:cs="Arial"/>
              </w:rPr>
            </w:pPr>
          </w:p>
        </w:tc>
        <w:tc>
          <w:tcPr>
            <w:tcW w:w="1230" w:type="dxa"/>
          </w:tcPr>
          <w:p w:rsidR="00C042D1" w:rsidRDefault="00C042D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r>
              <w:rPr>
                <w:rFonts w:ascii="Arial" w:hAnsi="Arial" w:cs="Arial"/>
                <w:b/>
              </w:rPr>
              <w:t>MT</w:t>
            </w: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r>
              <w:rPr>
                <w:rFonts w:ascii="Arial" w:hAnsi="Arial" w:cs="Arial"/>
                <w:b/>
              </w:rPr>
              <w:t>MT</w:t>
            </w: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r>
              <w:rPr>
                <w:rFonts w:ascii="Arial" w:hAnsi="Arial" w:cs="Arial"/>
                <w:b/>
              </w:rPr>
              <w:t>JT</w:t>
            </w: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0E4CB8" w:rsidRDefault="000E4CB8" w:rsidP="007628DB">
            <w:pPr>
              <w:rPr>
                <w:rFonts w:ascii="Arial" w:hAnsi="Arial" w:cs="Arial"/>
                <w:b/>
              </w:rPr>
            </w:pPr>
          </w:p>
          <w:p w:rsidR="000E4CB8" w:rsidRDefault="000E4CB8"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r>
              <w:rPr>
                <w:rFonts w:ascii="Arial" w:hAnsi="Arial" w:cs="Arial"/>
                <w:b/>
              </w:rPr>
              <w:t>GF</w:t>
            </w: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r>
              <w:rPr>
                <w:rFonts w:ascii="Arial" w:hAnsi="Arial" w:cs="Arial"/>
                <w:b/>
              </w:rPr>
              <w:t>DR</w:t>
            </w: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r>
              <w:rPr>
                <w:rFonts w:ascii="Arial" w:hAnsi="Arial" w:cs="Arial"/>
                <w:b/>
              </w:rPr>
              <w:t>JH</w:t>
            </w:r>
          </w:p>
          <w:p w:rsidR="00817C51" w:rsidRDefault="00817C51" w:rsidP="007628DB">
            <w:pPr>
              <w:rPr>
                <w:rFonts w:ascii="Arial" w:hAnsi="Arial" w:cs="Arial"/>
                <w:b/>
              </w:rPr>
            </w:pPr>
          </w:p>
          <w:p w:rsidR="00817C51" w:rsidRDefault="00817C51" w:rsidP="007628DB">
            <w:pPr>
              <w:rPr>
                <w:rFonts w:ascii="Arial" w:hAnsi="Arial" w:cs="Arial"/>
                <w:b/>
              </w:rPr>
            </w:pPr>
          </w:p>
          <w:p w:rsidR="00817C51" w:rsidRDefault="00817C51" w:rsidP="007628DB">
            <w:pPr>
              <w:rPr>
                <w:rFonts w:ascii="Arial" w:hAnsi="Arial" w:cs="Arial"/>
                <w:b/>
              </w:rPr>
            </w:pPr>
          </w:p>
          <w:p w:rsidR="00817C51" w:rsidRPr="000A4829" w:rsidRDefault="00817C51" w:rsidP="007628DB">
            <w:pPr>
              <w:rPr>
                <w:rFonts w:ascii="Arial" w:hAnsi="Arial" w:cs="Arial"/>
                <w:b/>
              </w:rPr>
            </w:pPr>
          </w:p>
        </w:tc>
      </w:tr>
      <w:tr w:rsidR="001E7FF3" w:rsidRPr="000A4829" w:rsidTr="00913BA8">
        <w:trPr>
          <w:trHeight w:val="416"/>
        </w:trPr>
        <w:tc>
          <w:tcPr>
            <w:tcW w:w="798" w:type="dxa"/>
          </w:tcPr>
          <w:p w:rsidR="001E7FF3" w:rsidRPr="000A4829" w:rsidRDefault="009968DC" w:rsidP="00F75D74">
            <w:pPr>
              <w:rPr>
                <w:rFonts w:ascii="Arial" w:hAnsi="Arial" w:cs="Arial"/>
                <w:b/>
              </w:rPr>
            </w:pPr>
            <w:r w:rsidRPr="000A4829">
              <w:rPr>
                <w:rFonts w:ascii="Arial" w:hAnsi="Arial" w:cs="Arial"/>
                <w:b/>
              </w:rPr>
              <w:lastRenderedPageBreak/>
              <w:t>5.</w:t>
            </w:r>
          </w:p>
          <w:p w:rsidR="009968DC" w:rsidRPr="000A4829" w:rsidRDefault="009968DC" w:rsidP="00F75D74">
            <w:pPr>
              <w:rPr>
                <w:rFonts w:ascii="Arial" w:hAnsi="Arial" w:cs="Arial"/>
                <w:b/>
              </w:rPr>
            </w:pPr>
          </w:p>
        </w:tc>
        <w:tc>
          <w:tcPr>
            <w:tcW w:w="6540" w:type="dxa"/>
          </w:tcPr>
          <w:p w:rsidR="00463248" w:rsidRPr="000A4829" w:rsidRDefault="009968DC" w:rsidP="00463248">
            <w:pPr>
              <w:rPr>
                <w:rFonts w:ascii="Arial" w:hAnsi="Arial" w:cs="Arial"/>
                <w:b/>
              </w:rPr>
            </w:pPr>
            <w:r w:rsidRPr="000A4829">
              <w:rPr>
                <w:rFonts w:ascii="Arial" w:hAnsi="Arial" w:cs="Arial"/>
                <w:b/>
              </w:rPr>
              <w:t xml:space="preserve">Agenda Item 3: </w:t>
            </w:r>
            <w:r w:rsidR="002B417F">
              <w:rPr>
                <w:rFonts w:ascii="Arial" w:hAnsi="Arial" w:cs="Arial"/>
                <w:b/>
              </w:rPr>
              <w:t xml:space="preserve"> </w:t>
            </w:r>
            <w:r w:rsidR="00463248" w:rsidRPr="000A4829">
              <w:rPr>
                <w:rFonts w:ascii="Arial" w:hAnsi="Arial" w:cs="Arial"/>
                <w:b/>
              </w:rPr>
              <w:t xml:space="preserve">OSCR Review arrangements </w:t>
            </w:r>
          </w:p>
          <w:p w:rsidR="00463248" w:rsidRPr="000A4829" w:rsidRDefault="00463248" w:rsidP="00463248">
            <w:pPr>
              <w:rPr>
                <w:rFonts w:ascii="Arial" w:hAnsi="Arial" w:cs="Arial"/>
                <w:b/>
              </w:rPr>
            </w:pPr>
          </w:p>
          <w:p w:rsidR="00463248" w:rsidRDefault="00463248" w:rsidP="00463248">
            <w:pPr>
              <w:rPr>
                <w:rFonts w:ascii="Arial" w:hAnsi="Arial" w:cs="Arial"/>
              </w:rPr>
            </w:pPr>
            <w:r w:rsidRPr="000A4829">
              <w:rPr>
                <w:rFonts w:ascii="Arial" w:hAnsi="Arial" w:cs="Arial"/>
              </w:rPr>
              <w:t>The Head of Registration introduced paper</w:t>
            </w:r>
            <w:r w:rsidR="000A4829" w:rsidRPr="000A4829">
              <w:rPr>
                <w:rFonts w:ascii="Arial" w:hAnsi="Arial" w:cs="Arial"/>
              </w:rPr>
              <w:t xml:space="preserve"> 366</w:t>
            </w:r>
            <w:r w:rsidRPr="000A4829">
              <w:rPr>
                <w:rFonts w:ascii="Arial" w:hAnsi="Arial" w:cs="Arial"/>
              </w:rPr>
              <w:t xml:space="preserve">. He said he was bringing to the Board a new version of a previous paper on review arrangements taking into account Board comments, to reflect advice that OSCR reviews must be ‘de </w:t>
            </w:r>
            <w:r w:rsidR="00E40AAB">
              <w:rPr>
                <w:rFonts w:ascii="Arial" w:hAnsi="Arial" w:cs="Arial"/>
              </w:rPr>
              <w:t>novo</w:t>
            </w:r>
            <w:r w:rsidR="00E40AAB" w:rsidRPr="000A4829">
              <w:rPr>
                <w:rFonts w:ascii="Arial" w:hAnsi="Arial" w:cs="Arial"/>
              </w:rPr>
              <w:t xml:space="preserve">’ </w:t>
            </w:r>
            <w:r w:rsidRPr="000A4829">
              <w:rPr>
                <w:rFonts w:ascii="Arial" w:hAnsi="Arial" w:cs="Arial"/>
              </w:rPr>
              <w:t xml:space="preserve">decisions (effectively taking the decision again), and to simplify how we communicate our review process. Board members said that a public body should not rule out review options and that they would prefer to keep their options flexible. They asked that wording be changed to reflect this. Members also asked that it be made clear what the review task was and that the reviewer would not be looking at the previous decision but would be taking a new decision and including any new evidence or information. They said that in exceptional circumstances the Board would want to </w:t>
            </w:r>
            <w:r w:rsidR="00E40AAB">
              <w:rPr>
                <w:rFonts w:ascii="Arial" w:hAnsi="Arial" w:cs="Arial"/>
              </w:rPr>
              <w:t xml:space="preserve">continue to </w:t>
            </w:r>
            <w:r w:rsidRPr="000A4829">
              <w:rPr>
                <w:rFonts w:ascii="Arial" w:hAnsi="Arial" w:cs="Arial"/>
              </w:rPr>
              <w:t xml:space="preserve">be the body taking a </w:t>
            </w:r>
            <w:r w:rsidR="006C5901">
              <w:rPr>
                <w:rFonts w:ascii="Arial" w:hAnsi="Arial" w:cs="Arial"/>
              </w:rPr>
              <w:t xml:space="preserve">first instance </w:t>
            </w:r>
            <w:r w:rsidRPr="000A4829">
              <w:rPr>
                <w:rFonts w:ascii="Arial" w:hAnsi="Arial" w:cs="Arial"/>
              </w:rPr>
              <w:t xml:space="preserve">decision particularly when a decision would set </w:t>
            </w:r>
            <w:r w:rsidR="00BD4805">
              <w:rPr>
                <w:rFonts w:ascii="Arial" w:hAnsi="Arial" w:cs="Arial"/>
              </w:rPr>
              <w:t xml:space="preserve">a </w:t>
            </w:r>
            <w:r w:rsidRPr="000A4829">
              <w:rPr>
                <w:rFonts w:ascii="Arial" w:hAnsi="Arial" w:cs="Arial"/>
              </w:rPr>
              <w:t xml:space="preserve">precedent or be crucial to OSCR’s reputation. They also </w:t>
            </w:r>
            <w:r w:rsidRPr="000A4829">
              <w:rPr>
                <w:rFonts w:ascii="Arial" w:hAnsi="Arial" w:cs="Arial"/>
              </w:rPr>
              <w:lastRenderedPageBreak/>
              <w:t xml:space="preserve">asked that the situation in which this might happen be set out, for instance where the decision was on a subject of wide sensitivity and affecting a large number of people and/or extremely complex. </w:t>
            </w:r>
            <w:r w:rsidR="006C5901">
              <w:rPr>
                <w:rFonts w:ascii="Arial" w:hAnsi="Arial" w:cs="Arial"/>
              </w:rPr>
              <w:t>However, there was agreement that this should not constitute a checklist approach and that there would need to be scope for staff to be able to identify cases that needed to be brought directly to the Board.</w:t>
            </w:r>
            <w:r w:rsidR="00DF4E5E">
              <w:rPr>
                <w:rFonts w:ascii="Arial" w:hAnsi="Arial" w:cs="Arial"/>
              </w:rPr>
              <w:t xml:space="preserve"> In these rare circumstances, the Board would therefore also have to review its own decision, where requested.</w:t>
            </w:r>
          </w:p>
          <w:p w:rsidR="000E4CB8" w:rsidRPr="000A4829" w:rsidRDefault="000E4CB8" w:rsidP="00463248">
            <w:pPr>
              <w:rPr>
                <w:rFonts w:ascii="Arial" w:hAnsi="Arial" w:cs="Arial"/>
              </w:rPr>
            </w:pPr>
          </w:p>
          <w:p w:rsidR="00463248" w:rsidRDefault="00463248" w:rsidP="00CD5DC5">
            <w:pPr>
              <w:rPr>
                <w:rFonts w:ascii="Arial" w:hAnsi="Arial" w:cs="Arial"/>
              </w:rPr>
            </w:pPr>
            <w:r w:rsidRPr="000A4829">
              <w:rPr>
                <w:rFonts w:ascii="Arial" w:hAnsi="Arial" w:cs="Arial"/>
              </w:rPr>
              <w:t xml:space="preserve">The Board asked staff to adjust the wording to take account of these views and then publish the new Review Procedure. </w:t>
            </w:r>
          </w:p>
          <w:p w:rsidR="00DD1345" w:rsidRPr="000A4829" w:rsidRDefault="00DD1345" w:rsidP="00CD5DC5">
            <w:pPr>
              <w:rPr>
                <w:rFonts w:ascii="Arial" w:hAnsi="Arial" w:cs="Arial"/>
              </w:rPr>
            </w:pPr>
          </w:p>
        </w:tc>
        <w:tc>
          <w:tcPr>
            <w:tcW w:w="1230" w:type="dxa"/>
          </w:tcPr>
          <w:p w:rsidR="00654E75" w:rsidRDefault="00654E75"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CC1C10" w:rsidRDefault="00CC1C10" w:rsidP="00913BA8">
            <w:pPr>
              <w:rPr>
                <w:rFonts w:ascii="Arial" w:hAnsi="Arial" w:cs="Arial"/>
                <w:b/>
              </w:rPr>
            </w:pPr>
          </w:p>
          <w:p w:rsidR="00E40AAB" w:rsidRDefault="00E40AAB" w:rsidP="00913BA8">
            <w:pPr>
              <w:rPr>
                <w:rFonts w:ascii="Arial" w:hAnsi="Arial" w:cs="Arial"/>
                <w:b/>
              </w:rPr>
            </w:pPr>
          </w:p>
          <w:p w:rsidR="00E40AAB" w:rsidRDefault="00E40AAB" w:rsidP="00913BA8">
            <w:pPr>
              <w:rPr>
                <w:rFonts w:ascii="Arial" w:hAnsi="Arial" w:cs="Arial"/>
                <w:b/>
              </w:rPr>
            </w:pPr>
          </w:p>
          <w:p w:rsidR="00CC1C10" w:rsidRPr="000A4829" w:rsidRDefault="00CC1C10" w:rsidP="00913BA8">
            <w:pPr>
              <w:rPr>
                <w:rFonts w:ascii="Arial" w:hAnsi="Arial" w:cs="Arial"/>
                <w:b/>
              </w:rPr>
            </w:pPr>
            <w:r>
              <w:rPr>
                <w:rFonts w:ascii="Arial" w:hAnsi="Arial" w:cs="Arial"/>
                <w:b/>
              </w:rPr>
              <w:t>MT</w:t>
            </w:r>
          </w:p>
        </w:tc>
      </w:tr>
      <w:tr w:rsidR="00463248" w:rsidRPr="000A4829" w:rsidTr="00990FC3">
        <w:trPr>
          <w:trHeight w:val="615"/>
        </w:trPr>
        <w:tc>
          <w:tcPr>
            <w:tcW w:w="798" w:type="dxa"/>
          </w:tcPr>
          <w:p w:rsidR="00463248" w:rsidRPr="000A4829" w:rsidRDefault="00463248" w:rsidP="00F75D74">
            <w:pPr>
              <w:rPr>
                <w:rFonts w:ascii="Arial" w:hAnsi="Arial" w:cs="Arial"/>
                <w:b/>
              </w:rPr>
            </w:pPr>
            <w:r w:rsidRPr="000A4829">
              <w:rPr>
                <w:rFonts w:ascii="Arial" w:hAnsi="Arial" w:cs="Arial"/>
                <w:b/>
              </w:rPr>
              <w:lastRenderedPageBreak/>
              <w:t xml:space="preserve">6. </w:t>
            </w:r>
          </w:p>
        </w:tc>
        <w:tc>
          <w:tcPr>
            <w:tcW w:w="6540" w:type="dxa"/>
          </w:tcPr>
          <w:p w:rsidR="00463248" w:rsidRPr="000A4829" w:rsidRDefault="000A4829" w:rsidP="00463248">
            <w:pPr>
              <w:rPr>
                <w:rFonts w:ascii="Arial" w:hAnsi="Arial" w:cs="Arial"/>
              </w:rPr>
            </w:pPr>
            <w:r w:rsidRPr="000A4829">
              <w:rPr>
                <w:rFonts w:ascii="Arial" w:hAnsi="Arial" w:cs="Arial"/>
                <w:b/>
              </w:rPr>
              <w:t>Agenda item 4</w:t>
            </w:r>
            <w:r w:rsidR="002B417F">
              <w:rPr>
                <w:rFonts w:ascii="Arial" w:hAnsi="Arial" w:cs="Arial"/>
                <w:b/>
              </w:rPr>
              <w:t>:</w:t>
            </w:r>
            <w:r w:rsidR="00463248" w:rsidRPr="000A4829">
              <w:rPr>
                <w:rFonts w:ascii="Arial" w:hAnsi="Arial" w:cs="Arial"/>
                <w:b/>
              </w:rPr>
              <w:t xml:space="preserve"> </w:t>
            </w:r>
            <w:r w:rsidR="002B417F">
              <w:rPr>
                <w:rFonts w:ascii="Arial" w:hAnsi="Arial" w:cs="Arial"/>
                <w:b/>
              </w:rPr>
              <w:t xml:space="preserve"> </w:t>
            </w:r>
            <w:r w:rsidR="00463248" w:rsidRPr="000A4829">
              <w:rPr>
                <w:rFonts w:ascii="Arial" w:hAnsi="Arial" w:cs="Arial"/>
                <w:b/>
              </w:rPr>
              <w:t xml:space="preserve">Publishing accounts  </w:t>
            </w:r>
          </w:p>
          <w:p w:rsidR="000A4829" w:rsidRPr="000A4829" w:rsidRDefault="000A4829" w:rsidP="00463248">
            <w:pPr>
              <w:rPr>
                <w:rFonts w:ascii="Arial" w:hAnsi="Arial" w:cs="Arial"/>
              </w:rPr>
            </w:pPr>
          </w:p>
          <w:p w:rsidR="00FD0FE0" w:rsidRDefault="000A4829" w:rsidP="00463248">
            <w:pPr>
              <w:rPr>
                <w:rFonts w:ascii="Arial" w:hAnsi="Arial" w:cs="Arial"/>
              </w:rPr>
            </w:pPr>
            <w:r w:rsidRPr="000A4829">
              <w:rPr>
                <w:rFonts w:ascii="Arial" w:hAnsi="Arial" w:cs="Arial"/>
              </w:rPr>
              <w:t>The Head of Enforcement introduced Paper 367</w:t>
            </w:r>
            <w:r w:rsidR="00BD4805">
              <w:rPr>
                <w:rFonts w:ascii="Arial" w:hAnsi="Arial" w:cs="Arial"/>
              </w:rPr>
              <w:t xml:space="preserve">. </w:t>
            </w:r>
            <w:r w:rsidR="00A46848">
              <w:rPr>
                <w:rFonts w:ascii="Arial" w:hAnsi="Arial" w:cs="Arial"/>
              </w:rPr>
              <w:t xml:space="preserve">She </w:t>
            </w:r>
            <w:r w:rsidR="00005367">
              <w:rPr>
                <w:rFonts w:ascii="Arial" w:hAnsi="Arial" w:cs="Arial"/>
              </w:rPr>
              <w:t>noted</w:t>
            </w:r>
            <w:r w:rsidR="00A46848">
              <w:rPr>
                <w:rFonts w:ascii="Arial" w:hAnsi="Arial" w:cs="Arial"/>
              </w:rPr>
              <w:t xml:space="preserve"> the</w:t>
            </w:r>
            <w:r w:rsidR="000E4CB8">
              <w:rPr>
                <w:rFonts w:ascii="Arial" w:hAnsi="Arial" w:cs="Arial"/>
              </w:rPr>
              <w:t xml:space="preserve"> Board had expressed </w:t>
            </w:r>
            <w:r w:rsidR="00A46848">
              <w:rPr>
                <w:rFonts w:ascii="Arial" w:hAnsi="Arial" w:cs="Arial"/>
              </w:rPr>
              <w:t xml:space="preserve">broad support </w:t>
            </w:r>
            <w:r w:rsidR="000E4CB8">
              <w:rPr>
                <w:rFonts w:ascii="Arial" w:hAnsi="Arial" w:cs="Arial"/>
              </w:rPr>
              <w:t>f</w:t>
            </w:r>
            <w:r w:rsidR="00A46848">
              <w:rPr>
                <w:rFonts w:ascii="Arial" w:hAnsi="Arial" w:cs="Arial"/>
              </w:rPr>
              <w:t>or publishing accounts and that the pro</w:t>
            </w:r>
            <w:r w:rsidR="006C5901">
              <w:rPr>
                <w:rFonts w:ascii="Arial" w:hAnsi="Arial" w:cs="Arial"/>
              </w:rPr>
              <w:t>ject team</w:t>
            </w:r>
            <w:r w:rsidR="00A46848">
              <w:rPr>
                <w:rFonts w:ascii="Arial" w:hAnsi="Arial" w:cs="Arial"/>
              </w:rPr>
              <w:t xml:space="preserve"> had been looking at how to implement this. She said there were some legal issues and officers were also seeking clarification from the Information Commissioner about these. </w:t>
            </w:r>
            <w:r w:rsidR="000E4CB8">
              <w:rPr>
                <w:rFonts w:ascii="Arial" w:hAnsi="Arial" w:cs="Arial"/>
              </w:rPr>
              <w:t>S</w:t>
            </w:r>
            <w:r w:rsidR="00A46848">
              <w:rPr>
                <w:rFonts w:ascii="Arial" w:hAnsi="Arial" w:cs="Arial"/>
              </w:rPr>
              <w:t xml:space="preserve">taff had carried out a small pilot to understand resource implications of redacting personal information from accounts. </w:t>
            </w:r>
            <w:r w:rsidR="000E4CB8">
              <w:rPr>
                <w:rFonts w:ascii="Arial" w:hAnsi="Arial" w:cs="Arial"/>
              </w:rPr>
              <w:t>There were several o</w:t>
            </w:r>
            <w:r w:rsidR="00A46848">
              <w:rPr>
                <w:rFonts w:ascii="Arial" w:hAnsi="Arial" w:cs="Arial"/>
              </w:rPr>
              <w:t xml:space="preserve">ptions </w:t>
            </w:r>
            <w:r w:rsidR="000E4CB8">
              <w:rPr>
                <w:rFonts w:ascii="Arial" w:hAnsi="Arial" w:cs="Arial"/>
              </w:rPr>
              <w:t xml:space="preserve">for the future </w:t>
            </w:r>
            <w:r w:rsidR="00A46848">
              <w:rPr>
                <w:rFonts w:ascii="Arial" w:hAnsi="Arial" w:cs="Arial"/>
              </w:rPr>
              <w:t>includ</w:t>
            </w:r>
            <w:r w:rsidR="000E4CB8">
              <w:rPr>
                <w:rFonts w:ascii="Arial" w:hAnsi="Arial" w:cs="Arial"/>
              </w:rPr>
              <w:t>ing</w:t>
            </w:r>
            <w:r w:rsidR="00A46848">
              <w:rPr>
                <w:rFonts w:ascii="Arial" w:hAnsi="Arial" w:cs="Arial"/>
              </w:rPr>
              <w:t xml:space="preserve"> publishing accounts for certain groups of charities, such as larger charities, or campaigning for charities to make accounts available themselves. A separate piece of work was looking at the feasibility of a charity trustee register and members were asked for their comments on this. This register could </w:t>
            </w:r>
            <w:r w:rsidR="00FD0FE0">
              <w:rPr>
                <w:rFonts w:ascii="Arial" w:hAnsi="Arial" w:cs="Arial"/>
              </w:rPr>
              <w:t xml:space="preserve">throw light on </w:t>
            </w:r>
            <w:proofErr w:type="gramStart"/>
            <w:r w:rsidR="00FD0FE0">
              <w:rPr>
                <w:rFonts w:ascii="Arial" w:hAnsi="Arial" w:cs="Arial"/>
              </w:rPr>
              <w:t>who</w:t>
            </w:r>
            <w:proofErr w:type="gramEnd"/>
            <w:r w:rsidR="00FD0FE0">
              <w:rPr>
                <w:rFonts w:ascii="Arial" w:hAnsi="Arial" w:cs="Arial"/>
              </w:rPr>
              <w:t xml:space="preserve"> charity trustees are, where they have links with other charities</w:t>
            </w:r>
            <w:r w:rsidR="000E4CB8">
              <w:rPr>
                <w:rFonts w:ascii="Arial" w:hAnsi="Arial" w:cs="Arial"/>
              </w:rPr>
              <w:t>,</w:t>
            </w:r>
            <w:r w:rsidR="00FD0FE0">
              <w:rPr>
                <w:rFonts w:ascii="Arial" w:hAnsi="Arial" w:cs="Arial"/>
              </w:rPr>
              <w:t xml:space="preserve"> and inform enforcement work. </w:t>
            </w:r>
          </w:p>
          <w:p w:rsidR="00FD0FE0" w:rsidRDefault="00FD0FE0" w:rsidP="00463248">
            <w:pPr>
              <w:rPr>
                <w:rFonts w:ascii="Arial" w:hAnsi="Arial" w:cs="Arial"/>
              </w:rPr>
            </w:pPr>
          </w:p>
          <w:p w:rsidR="00D04856" w:rsidRDefault="00A46848" w:rsidP="00463248">
            <w:pPr>
              <w:rPr>
                <w:rFonts w:ascii="Arial" w:hAnsi="Arial" w:cs="Arial"/>
              </w:rPr>
            </w:pPr>
            <w:r>
              <w:rPr>
                <w:rFonts w:ascii="Arial" w:hAnsi="Arial" w:cs="Arial"/>
              </w:rPr>
              <w:t>B</w:t>
            </w:r>
            <w:r w:rsidR="00FD0FE0">
              <w:rPr>
                <w:rFonts w:ascii="Arial" w:hAnsi="Arial" w:cs="Arial"/>
              </w:rPr>
              <w:t>oard members reiterated their support for publishing accounts and asked if it might be better to ask charities for consent to publish rather than redacting information. The Head of Enforcement said that this would require seeking consent both from charities and independent examiners</w:t>
            </w:r>
            <w:r w:rsidR="006C5901">
              <w:rPr>
                <w:rFonts w:ascii="Arial" w:hAnsi="Arial" w:cs="Arial"/>
              </w:rPr>
              <w:t>/auditors</w:t>
            </w:r>
            <w:r w:rsidR="00FD0FE0">
              <w:rPr>
                <w:rFonts w:ascii="Arial" w:hAnsi="Arial" w:cs="Arial"/>
              </w:rPr>
              <w:t xml:space="preserve">. Board members suggested starting by linking to where charities already published </w:t>
            </w:r>
            <w:r w:rsidR="006C5901">
              <w:rPr>
                <w:rFonts w:ascii="Arial" w:hAnsi="Arial" w:cs="Arial"/>
              </w:rPr>
              <w:t>their accounts or where</w:t>
            </w:r>
            <w:r w:rsidR="00FD0FE0">
              <w:rPr>
                <w:rFonts w:ascii="Arial" w:hAnsi="Arial" w:cs="Arial"/>
              </w:rPr>
              <w:t xml:space="preserve"> their accounts were made public elsewhere to begin to increase transparency. They considered it should be pr</w:t>
            </w:r>
            <w:r w:rsidR="00DE463C">
              <w:rPr>
                <w:rFonts w:ascii="Arial" w:hAnsi="Arial" w:cs="Arial"/>
              </w:rPr>
              <w:t xml:space="preserve">omoted </w:t>
            </w:r>
            <w:r w:rsidR="00FD0FE0">
              <w:rPr>
                <w:rFonts w:ascii="Arial" w:hAnsi="Arial" w:cs="Arial"/>
              </w:rPr>
              <w:t>as best practice for a charity to publish</w:t>
            </w:r>
            <w:r w:rsidR="006C5901">
              <w:rPr>
                <w:rFonts w:ascii="Arial" w:hAnsi="Arial" w:cs="Arial"/>
              </w:rPr>
              <w:t xml:space="preserve"> its</w:t>
            </w:r>
            <w:r w:rsidR="00FD0FE0">
              <w:rPr>
                <w:rFonts w:ascii="Arial" w:hAnsi="Arial" w:cs="Arial"/>
              </w:rPr>
              <w:t xml:space="preserve"> accounts. Some members said they considered it to be a</w:t>
            </w:r>
            <w:r w:rsidR="00E40AAB">
              <w:rPr>
                <w:rFonts w:ascii="Arial" w:hAnsi="Arial" w:cs="Arial"/>
              </w:rPr>
              <w:t xml:space="preserve"> </w:t>
            </w:r>
            <w:r w:rsidR="00FD0FE0">
              <w:rPr>
                <w:rFonts w:ascii="Arial" w:hAnsi="Arial" w:cs="Arial"/>
              </w:rPr>
              <w:t xml:space="preserve">high priority to deal with those charities on the register who had not filed accounts at all.  The Chief Executive said that he considered the regulator had a duty to increase transparency </w:t>
            </w:r>
            <w:r w:rsidR="00D04856">
              <w:rPr>
                <w:rFonts w:ascii="Arial" w:hAnsi="Arial" w:cs="Arial"/>
              </w:rPr>
              <w:t xml:space="preserve">and offer a comprehensive service </w:t>
            </w:r>
            <w:r w:rsidR="00FD0FE0">
              <w:rPr>
                <w:rFonts w:ascii="Arial" w:hAnsi="Arial" w:cs="Arial"/>
              </w:rPr>
              <w:t xml:space="preserve">by publishing the information we held on charities in the same </w:t>
            </w:r>
            <w:r w:rsidR="00FD0FE0">
              <w:rPr>
                <w:rFonts w:ascii="Arial" w:hAnsi="Arial" w:cs="Arial"/>
              </w:rPr>
              <w:lastRenderedPageBreak/>
              <w:t>way as the Charity Commission</w:t>
            </w:r>
            <w:r w:rsidR="00D04856">
              <w:rPr>
                <w:rFonts w:ascii="Arial" w:hAnsi="Arial" w:cs="Arial"/>
              </w:rPr>
              <w:t xml:space="preserve"> and taking sensible steps to make this happen</w:t>
            </w:r>
            <w:r w:rsidR="00FD0FE0">
              <w:rPr>
                <w:rFonts w:ascii="Arial" w:hAnsi="Arial" w:cs="Arial"/>
              </w:rPr>
              <w:t xml:space="preserve">. </w:t>
            </w:r>
            <w:r w:rsidR="00D04856">
              <w:rPr>
                <w:rFonts w:ascii="Arial" w:hAnsi="Arial" w:cs="Arial"/>
              </w:rPr>
              <w:t xml:space="preserve">He said that having a trustee register would address an area </w:t>
            </w:r>
            <w:r w:rsidR="00E40AAB">
              <w:rPr>
                <w:rFonts w:ascii="Arial" w:hAnsi="Arial" w:cs="Arial"/>
              </w:rPr>
              <w:t xml:space="preserve">of potential risk </w:t>
            </w:r>
            <w:r w:rsidR="00D04856">
              <w:rPr>
                <w:rFonts w:ascii="Arial" w:hAnsi="Arial" w:cs="Arial"/>
              </w:rPr>
              <w:t xml:space="preserve">where we </w:t>
            </w:r>
            <w:r w:rsidR="00E40AAB">
              <w:rPr>
                <w:rFonts w:ascii="Arial" w:hAnsi="Arial" w:cs="Arial"/>
              </w:rPr>
              <w:t xml:space="preserve">currently </w:t>
            </w:r>
            <w:r w:rsidR="00D04856">
              <w:rPr>
                <w:rFonts w:ascii="Arial" w:hAnsi="Arial" w:cs="Arial"/>
              </w:rPr>
              <w:t xml:space="preserve">had limited information. </w:t>
            </w:r>
          </w:p>
          <w:p w:rsidR="00D04856" w:rsidRDefault="00D04856" w:rsidP="00463248">
            <w:pPr>
              <w:rPr>
                <w:rFonts w:ascii="Arial" w:hAnsi="Arial" w:cs="Arial"/>
              </w:rPr>
            </w:pPr>
          </w:p>
          <w:p w:rsidR="000A4829" w:rsidRDefault="00FD0FE0" w:rsidP="00463248">
            <w:pPr>
              <w:rPr>
                <w:rFonts w:ascii="Arial" w:hAnsi="Arial" w:cs="Arial"/>
              </w:rPr>
            </w:pPr>
            <w:r>
              <w:rPr>
                <w:rFonts w:ascii="Arial" w:hAnsi="Arial" w:cs="Arial"/>
              </w:rPr>
              <w:t xml:space="preserve">Regarding the trustee register, members </w:t>
            </w:r>
            <w:r w:rsidR="00E40AAB">
              <w:rPr>
                <w:rFonts w:ascii="Arial" w:hAnsi="Arial" w:cs="Arial"/>
              </w:rPr>
              <w:t>asked for</w:t>
            </w:r>
            <w:r>
              <w:rPr>
                <w:rFonts w:ascii="Arial" w:hAnsi="Arial" w:cs="Arial"/>
              </w:rPr>
              <w:t xml:space="preserve"> a more detailed business case that set </w:t>
            </w:r>
            <w:r w:rsidR="00D04856">
              <w:rPr>
                <w:rFonts w:ascii="Arial" w:hAnsi="Arial" w:cs="Arial"/>
              </w:rPr>
              <w:t xml:space="preserve">out the purpose of doing this, the benefits, feasibility and the resources required.  </w:t>
            </w:r>
          </w:p>
          <w:p w:rsidR="00D04856" w:rsidRDefault="00D04856" w:rsidP="00463248">
            <w:pPr>
              <w:rPr>
                <w:rFonts w:ascii="Arial" w:hAnsi="Arial" w:cs="Arial"/>
              </w:rPr>
            </w:pPr>
          </w:p>
          <w:p w:rsidR="00BD4805" w:rsidRDefault="00D04856" w:rsidP="00463248">
            <w:pPr>
              <w:rPr>
                <w:rFonts w:ascii="Arial" w:hAnsi="Arial" w:cs="Arial"/>
              </w:rPr>
            </w:pPr>
            <w:r>
              <w:rPr>
                <w:rFonts w:ascii="Arial" w:hAnsi="Arial" w:cs="Arial"/>
              </w:rPr>
              <w:t>Regarding publishing accounts, members asked that we build</w:t>
            </w:r>
            <w:r w:rsidR="000E4CB8">
              <w:rPr>
                <w:rFonts w:ascii="Arial" w:hAnsi="Arial" w:cs="Arial"/>
              </w:rPr>
              <w:t xml:space="preserve"> requests for</w:t>
            </w:r>
            <w:r>
              <w:rPr>
                <w:rFonts w:ascii="Arial" w:hAnsi="Arial" w:cs="Arial"/>
              </w:rPr>
              <w:t xml:space="preserve"> consent into the existing process and link to those charities that were already publishing accounts online in a way that encourages charities to follow best practice and publish their accounts themselves. </w:t>
            </w:r>
          </w:p>
          <w:p w:rsidR="00463248" w:rsidRPr="000A4829" w:rsidRDefault="00463248" w:rsidP="00545FA3">
            <w:pPr>
              <w:rPr>
                <w:rFonts w:ascii="Arial" w:hAnsi="Arial" w:cs="Arial"/>
                <w:b/>
              </w:rPr>
            </w:pPr>
          </w:p>
        </w:tc>
        <w:tc>
          <w:tcPr>
            <w:tcW w:w="1230" w:type="dxa"/>
          </w:tcPr>
          <w:p w:rsidR="00463248" w:rsidRDefault="00463248"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005367" w:rsidRDefault="00005367"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r>
              <w:rPr>
                <w:rFonts w:ascii="Arial" w:hAnsi="Arial" w:cs="Arial"/>
                <w:b/>
              </w:rPr>
              <w:t>LA</w:t>
            </w: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r>
              <w:rPr>
                <w:rFonts w:ascii="Arial" w:hAnsi="Arial" w:cs="Arial"/>
                <w:b/>
              </w:rPr>
              <w:t>LA</w:t>
            </w:r>
          </w:p>
          <w:p w:rsidR="00DE463C" w:rsidRPr="000A4829" w:rsidRDefault="00DE463C" w:rsidP="00913BA8">
            <w:pPr>
              <w:rPr>
                <w:rFonts w:ascii="Arial" w:hAnsi="Arial" w:cs="Arial"/>
                <w:b/>
              </w:rPr>
            </w:pPr>
          </w:p>
        </w:tc>
      </w:tr>
      <w:tr w:rsidR="00463248" w:rsidRPr="000A4829" w:rsidTr="00990FC3">
        <w:trPr>
          <w:trHeight w:val="615"/>
        </w:trPr>
        <w:tc>
          <w:tcPr>
            <w:tcW w:w="798" w:type="dxa"/>
          </w:tcPr>
          <w:p w:rsidR="00463248" w:rsidRPr="000A4829" w:rsidRDefault="00463248" w:rsidP="00F75D74">
            <w:pPr>
              <w:rPr>
                <w:rFonts w:ascii="Arial" w:hAnsi="Arial" w:cs="Arial"/>
                <w:b/>
              </w:rPr>
            </w:pPr>
            <w:r w:rsidRPr="000A4829">
              <w:rPr>
                <w:rFonts w:ascii="Arial" w:hAnsi="Arial" w:cs="Arial"/>
                <w:b/>
              </w:rPr>
              <w:lastRenderedPageBreak/>
              <w:t xml:space="preserve">7. </w:t>
            </w:r>
          </w:p>
        </w:tc>
        <w:tc>
          <w:tcPr>
            <w:tcW w:w="6540" w:type="dxa"/>
          </w:tcPr>
          <w:p w:rsidR="00463248" w:rsidRPr="002B417F" w:rsidRDefault="000A4829" w:rsidP="00463248">
            <w:pPr>
              <w:rPr>
                <w:rFonts w:ascii="Arial" w:hAnsi="Arial" w:cs="Arial"/>
                <w:b/>
              </w:rPr>
            </w:pPr>
            <w:r w:rsidRPr="002B417F">
              <w:rPr>
                <w:rFonts w:ascii="Arial" w:hAnsi="Arial" w:cs="Arial"/>
                <w:b/>
              </w:rPr>
              <w:t>Agenda item 5</w:t>
            </w:r>
            <w:r w:rsidR="002B417F">
              <w:rPr>
                <w:rFonts w:ascii="Arial" w:hAnsi="Arial" w:cs="Arial"/>
                <w:b/>
              </w:rPr>
              <w:t xml:space="preserve">:  </w:t>
            </w:r>
            <w:proofErr w:type="spellStart"/>
            <w:r w:rsidR="00463248" w:rsidRPr="002B417F">
              <w:rPr>
                <w:rFonts w:ascii="Arial" w:hAnsi="Arial" w:cs="Arial"/>
                <w:b/>
              </w:rPr>
              <w:t>Dalkeith</w:t>
            </w:r>
            <w:proofErr w:type="spellEnd"/>
            <w:r w:rsidR="00463248" w:rsidRPr="002B417F">
              <w:rPr>
                <w:rFonts w:ascii="Arial" w:hAnsi="Arial" w:cs="Arial"/>
                <w:b/>
              </w:rPr>
              <w:t xml:space="preserve"> Miners</w:t>
            </w:r>
            <w:r w:rsidRPr="002B417F">
              <w:rPr>
                <w:rFonts w:ascii="Arial" w:hAnsi="Arial" w:cs="Arial"/>
                <w:b/>
              </w:rPr>
              <w:t>: Learning points</w:t>
            </w:r>
          </w:p>
          <w:p w:rsidR="000A4829" w:rsidRPr="000A4829" w:rsidRDefault="000A4829" w:rsidP="00463248">
            <w:pPr>
              <w:rPr>
                <w:rFonts w:ascii="Arial" w:hAnsi="Arial" w:cs="Arial"/>
              </w:rPr>
            </w:pPr>
          </w:p>
          <w:p w:rsidR="00350595" w:rsidRDefault="000A4829" w:rsidP="00463248">
            <w:pPr>
              <w:rPr>
                <w:rFonts w:ascii="Arial" w:hAnsi="Arial" w:cs="Arial"/>
              </w:rPr>
            </w:pPr>
            <w:r w:rsidRPr="000A4829">
              <w:rPr>
                <w:rFonts w:ascii="Arial" w:hAnsi="Arial" w:cs="Arial"/>
              </w:rPr>
              <w:t>The Head of Reg</w:t>
            </w:r>
            <w:r w:rsidR="00D04856">
              <w:rPr>
                <w:rFonts w:ascii="Arial" w:hAnsi="Arial" w:cs="Arial"/>
              </w:rPr>
              <w:t xml:space="preserve">istration introduced Paper 368 that was to update Board members on this case and set out learning points from the process. </w:t>
            </w:r>
            <w:r w:rsidR="00350595">
              <w:rPr>
                <w:rFonts w:ascii="Arial" w:hAnsi="Arial" w:cs="Arial"/>
              </w:rPr>
              <w:t xml:space="preserve">Having made a finely balanced decision in the case of </w:t>
            </w:r>
            <w:proofErr w:type="spellStart"/>
            <w:r w:rsidR="00350595">
              <w:rPr>
                <w:rFonts w:ascii="Arial" w:hAnsi="Arial" w:cs="Arial"/>
              </w:rPr>
              <w:t>Dalkeith</w:t>
            </w:r>
            <w:proofErr w:type="spellEnd"/>
            <w:r w:rsidR="00350595">
              <w:rPr>
                <w:rFonts w:ascii="Arial" w:hAnsi="Arial" w:cs="Arial"/>
              </w:rPr>
              <w:t xml:space="preserve"> Miners Charitable Society’s reorganisation scheme, which was refused, he said that one lesson was that the regulator should </w:t>
            </w:r>
            <w:r w:rsidR="00E40AAB">
              <w:rPr>
                <w:rFonts w:ascii="Arial" w:hAnsi="Arial" w:cs="Arial"/>
              </w:rPr>
              <w:t xml:space="preserve">be wary of </w:t>
            </w:r>
            <w:r w:rsidR="00350595">
              <w:rPr>
                <w:rFonts w:ascii="Arial" w:hAnsi="Arial" w:cs="Arial"/>
              </w:rPr>
              <w:t xml:space="preserve">being drawn into disputes between charities and umbrella groups. He said that </w:t>
            </w:r>
            <w:r w:rsidR="00701D02">
              <w:rPr>
                <w:rFonts w:ascii="Arial" w:hAnsi="Arial" w:cs="Arial"/>
              </w:rPr>
              <w:t xml:space="preserve">in cases like this </w:t>
            </w:r>
            <w:r w:rsidR="00350595">
              <w:rPr>
                <w:rFonts w:ascii="Arial" w:hAnsi="Arial" w:cs="Arial"/>
              </w:rPr>
              <w:t xml:space="preserve">OSCR would try and facilitate agreement between the two groups and might suggest the bodies use a third party to broker a solution to their disagreement, which </w:t>
            </w:r>
            <w:proofErr w:type="gramStart"/>
            <w:r w:rsidR="00350595">
              <w:rPr>
                <w:rFonts w:ascii="Arial" w:hAnsi="Arial" w:cs="Arial"/>
              </w:rPr>
              <w:t>was a role</w:t>
            </w:r>
            <w:proofErr w:type="gramEnd"/>
            <w:r w:rsidR="00350595">
              <w:rPr>
                <w:rFonts w:ascii="Arial" w:hAnsi="Arial" w:cs="Arial"/>
              </w:rPr>
              <w:t xml:space="preserve"> for a mediator and not the charity regulator. The Board agreed that it was not for OSCR to resolve disputes among charities but to reach assured decisions</w:t>
            </w:r>
            <w:r w:rsidR="000E4CB8">
              <w:rPr>
                <w:rFonts w:ascii="Arial" w:hAnsi="Arial" w:cs="Arial"/>
              </w:rPr>
              <w:t xml:space="preserve"> on</w:t>
            </w:r>
            <w:r w:rsidR="00701D02">
              <w:rPr>
                <w:rFonts w:ascii="Arial" w:hAnsi="Arial" w:cs="Arial"/>
              </w:rPr>
              <w:t xml:space="preserve"> points of</w:t>
            </w:r>
            <w:r w:rsidR="000E4CB8">
              <w:rPr>
                <w:rFonts w:ascii="Arial" w:hAnsi="Arial" w:cs="Arial"/>
              </w:rPr>
              <w:t xml:space="preserve"> charity law</w:t>
            </w:r>
            <w:r w:rsidR="00350595">
              <w:rPr>
                <w:rFonts w:ascii="Arial" w:hAnsi="Arial" w:cs="Arial"/>
              </w:rPr>
              <w:t xml:space="preserve">. The Head of Registration said that the case had improved our understanding of </w:t>
            </w:r>
            <w:r w:rsidR="00701D02">
              <w:rPr>
                <w:rFonts w:ascii="Arial" w:hAnsi="Arial" w:cs="Arial"/>
              </w:rPr>
              <w:t xml:space="preserve">the issues around </w:t>
            </w:r>
            <w:r w:rsidR="00350595">
              <w:rPr>
                <w:rFonts w:ascii="Arial" w:hAnsi="Arial" w:cs="Arial"/>
              </w:rPr>
              <w:t>reorganisation</w:t>
            </w:r>
            <w:r w:rsidR="00701D02">
              <w:rPr>
                <w:rFonts w:ascii="Arial" w:hAnsi="Arial" w:cs="Arial"/>
              </w:rPr>
              <w:t>s</w:t>
            </w:r>
            <w:r w:rsidR="00350595">
              <w:rPr>
                <w:rFonts w:ascii="Arial" w:hAnsi="Arial" w:cs="Arial"/>
              </w:rPr>
              <w:t>, which had informed the decision</w:t>
            </w:r>
            <w:r w:rsidR="000E4CB8">
              <w:rPr>
                <w:rFonts w:ascii="Arial" w:hAnsi="Arial" w:cs="Arial"/>
              </w:rPr>
              <w:t xml:space="preserve"> </w:t>
            </w:r>
            <w:r w:rsidR="00350595">
              <w:rPr>
                <w:rFonts w:ascii="Arial" w:hAnsi="Arial" w:cs="Arial"/>
              </w:rPr>
              <w:t xml:space="preserve">made.  </w:t>
            </w:r>
          </w:p>
          <w:p w:rsidR="00350595" w:rsidRDefault="00350595" w:rsidP="00463248">
            <w:pPr>
              <w:rPr>
                <w:rFonts w:ascii="Arial" w:hAnsi="Arial" w:cs="Arial"/>
              </w:rPr>
            </w:pPr>
          </w:p>
          <w:p w:rsidR="007417C6" w:rsidRPr="000A4829" w:rsidRDefault="00350595" w:rsidP="00350595">
            <w:pPr>
              <w:rPr>
                <w:rFonts w:ascii="Arial" w:hAnsi="Arial" w:cs="Arial"/>
                <w:b/>
              </w:rPr>
            </w:pPr>
            <w:r>
              <w:rPr>
                <w:rFonts w:ascii="Arial" w:hAnsi="Arial" w:cs="Arial"/>
              </w:rPr>
              <w:t xml:space="preserve">The Board noted the paper.   </w:t>
            </w:r>
          </w:p>
        </w:tc>
        <w:tc>
          <w:tcPr>
            <w:tcW w:w="1230" w:type="dxa"/>
          </w:tcPr>
          <w:p w:rsidR="00463248" w:rsidRDefault="00463248"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Pr="000A4829" w:rsidRDefault="00DE463C" w:rsidP="00913BA8">
            <w:pPr>
              <w:rPr>
                <w:rFonts w:ascii="Arial" w:hAnsi="Arial" w:cs="Arial"/>
                <w:b/>
              </w:rPr>
            </w:pPr>
            <w:r>
              <w:rPr>
                <w:rFonts w:ascii="Arial" w:hAnsi="Arial" w:cs="Arial"/>
                <w:b/>
              </w:rPr>
              <w:t>MT</w:t>
            </w:r>
          </w:p>
        </w:tc>
      </w:tr>
      <w:tr w:rsidR="00463248" w:rsidRPr="000A4829" w:rsidTr="00990FC3">
        <w:trPr>
          <w:trHeight w:val="615"/>
        </w:trPr>
        <w:tc>
          <w:tcPr>
            <w:tcW w:w="798" w:type="dxa"/>
          </w:tcPr>
          <w:p w:rsidR="00463248" w:rsidRPr="000A4829" w:rsidRDefault="00463248" w:rsidP="00F75D74">
            <w:pPr>
              <w:rPr>
                <w:rFonts w:ascii="Arial" w:hAnsi="Arial" w:cs="Arial"/>
                <w:b/>
              </w:rPr>
            </w:pPr>
            <w:r w:rsidRPr="000A4829">
              <w:rPr>
                <w:rFonts w:ascii="Arial" w:hAnsi="Arial" w:cs="Arial"/>
                <w:b/>
              </w:rPr>
              <w:t>8.</w:t>
            </w:r>
          </w:p>
        </w:tc>
        <w:tc>
          <w:tcPr>
            <w:tcW w:w="6540" w:type="dxa"/>
          </w:tcPr>
          <w:p w:rsidR="00463248" w:rsidRPr="002B417F" w:rsidRDefault="000A4829" w:rsidP="00463248">
            <w:pPr>
              <w:rPr>
                <w:rFonts w:ascii="Arial" w:hAnsi="Arial" w:cs="Arial"/>
                <w:b/>
              </w:rPr>
            </w:pPr>
            <w:r w:rsidRPr="002B417F">
              <w:rPr>
                <w:rFonts w:ascii="Arial" w:hAnsi="Arial" w:cs="Arial"/>
                <w:b/>
              </w:rPr>
              <w:t>Agenda item 6</w:t>
            </w:r>
            <w:r w:rsidR="002B417F">
              <w:rPr>
                <w:rFonts w:ascii="Arial" w:hAnsi="Arial" w:cs="Arial"/>
                <w:b/>
              </w:rPr>
              <w:t xml:space="preserve">:  </w:t>
            </w:r>
            <w:r w:rsidR="00463248" w:rsidRPr="002B417F">
              <w:rPr>
                <w:rFonts w:ascii="Arial" w:hAnsi="Arial" w:cs="Arial"/>
                <w:b/>
              </w:rPr>
              <w:t>International charities</w:t>
            </w:r>
          </w:p>
          <w:p w:rsidR="000A4829" w:rsidRPr="000A4829" w:rsidRDefault="000A4829" w:rsidP="00463248">
            <w:pPr>
              <w:rPr>
                <w:rFonts w:ascii="Arial" w:hAnsi="Arial" w:cs="Arial"/>
              </w:rPr>
            </w:pPr>
          </w:p>
          <w:p w:rsidR="000A4829" w:rsidRDefault="000A4829" w:rsidP="00463248">
            <w:pPr>
              <w:rPr>
                <w:rFonts w:ascii="Arial" w:hAnsi="Arial" w:cs="Arial"/>
              </w:rPr>
            </w:pPr>
            <w:r w:rsidRPr="000A4829">
              <w:rPr>
                <w:rFonts w:ascii="Arial" w:hAnsi="Arial" w:cs="Arial"/>
              </w:rPr>
              <w:t xml:space="preserve">The Head of Enforcement introduced Paper 369. </w:t>
            </w:r>
            <w:r w:rsidR="00350595">
              <w:rPr>
                <w:rFonts w:ascii="Arial" w:hAnsi="Arial" w:cs="Arial"/>
              </w:rPr>
              <w:t xml:space="preserve">She said that ongoing research had established there were very few charities on the register that had no links to the UK. The project is therefore looking at 2,900 charities that work in the UK and overseas. </w:t>
            </w:r>
            <w:r w:rsidR="00005367">
              <w:rPr>
                <w:rFonts w:ascii="Arial" w:hAnsi="Arial" w:cs="Arial"/>
              </w:rPr>
              <w:t xml:space="preserve">She said that staff would report back on further analysis of this group of charities. Engagement work was also taking place with the umbrella group </w:t>
            </w:r>
            <w:r w:rsidR="00701D02">
              <w:rPr>
                <w:rFonts w:ascii="Arial" w:hAnsi="Arial" w:cs="Arial"/>
              </w:rPr>
              <w:t xml:space="preserve">NIDOS </w:t>
            </w:r>
            <w:r w:rsidR="00005367">
              <w:rPr>
                <w:rFonts w:ascii="Arial" w:hAnsi="Arial" w:cs="Arial"/>
              </w:rPr>
              <w:t xml:space="preserve">to understand better the risks that these charities face. This will help OSCR respond to the way these charities mitigate these risks. She said that she would report back on that engagement. Board members asked if there were plans to look in detail at any of these charities. The Chief Executive </w:t>
            </w:r>
            <w:r w:rsidR="00005367">
              <w:rPr>
                <w:rFonts w:ascii="Arial" w:hAnsi="Arial" w:cs="Arial"/>
              </w:rPr>
              <w:lastRenderedPageBreak/>
              <w:t xml:space="preserve">said any future work would be carried out </w:t>
            </w:r>
            <w:r w:rsidR="00701D02">
              <w:rPr>
                <w:rFonts w:ascii="Arial" w:hAnsi="Arial" w:cs="Arial"/>
              </w:rPr>
              <w:t>cognisant</w:t>
            </w:r>
            <w:r w:rsidR="00005367">
              <w:rPr>
                <w:rFonts w:ascii="Arial" w:hAnsi="Arial" w:cs="Arial"/>
              </w:rPr>
              <w:t xml:space="preserve"> that most international charities are well aware of their risks and manage them well. Board members asked how many of the group had not submitted accounts. The Head of Enforcement said non-submission levels were broadly similar to all charities. Board members asked however that </w:t>
            </w:r>
            <w:r w:rsidR="00DE463C">
              <w:rPr>
                <w:rFonts w:ascii="Arial" w:hAnsi="Arial" w:cs="Arial"/>
              </w:rPr>
              <w:t>staff</w:t>
            </w:r>
            <w:r w:rsidR="00005367">
              <w:rPr>
                <w:rFonts w:ascii="Arial" w:hAnsi="Arial" w:cs="Arial"/>
              </w:rPr>
              <w:t xml:space="preserve"> prioritise those charities in that group that had not submitted accounts for closer attention. </w:t>
            </w:r>
          </w:p>
          <w:p w:rsidR="00005367" w:rsidRDefault="00005367" w:rsidP="00463248">
            <w:pPr>
              <w:rPr>
                <w:rFonts w:ascii="Arial" w:hAnsi="Arial" w:cs="Arial"/>
              </w:rPr>
            </w:pPr>
          </w:p>
          <w:p w:rsidR="00463248" w:rsidRDefault="00005367" w:rsidP="00545FA3">
            <w:pPr>
              <w:rPr>
                <w:rFonts w:ascii="Arial" w:hAnsi="Arial" w:cs="Arial"/>
                <w:b/>
              </w:rPr>
            </w:pPr>
            <w:r>
              <w:rPr>
                <w:rFonts w:ascii="Arial" w:hAnsi="Arial" w:cs="Arial"/>
              </w:rPr>
              <w:t xml:space="preserve">The Board noted the report. </w:t>
            </w:r>
          </w:p>
          <w:p w:rsidR="007417C6" w:rsidRPr="000A4829" w:rsidRDefault="007417C6" w:rsidP="00545FA3">
            <w:pPr>
              <w:rPr>
                <w:rFonts w:ascii="Arial" w:hAnsi="Arial" w:cs="Arial"/>
                <w:b/>
              </w:rPr>
            </w:pPr>
          </w:p>
        </w:tc>
        <w:tc>
          <w:tcPr>
            <w:tcW w:w="1230" w:type="dxa"/>
          </w:tcPr>
          <w:p w:rsidR="00463248" w:rsidRDefault="00463248"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Pr="000A4829" w:rsidRDefault="00DE463C" w:rsidP="00913BA8">
            <w:pPr>
              <w:rPr>
                <w:rFonts w:ascii="Arial" w:hAnsi="Arial" w:cs="Arial"/>
                <w:b/>
              </w:rPr>
            </w:pPr>
            <w:r>
              <w:rPr>
                <w:rFonts w:ascii="Arial" w:hAnsi="Arial" w:cs="Arial"/>
                <w:b/>
              </w:rPr>
              <w:t>LA</w:t>
            </w:r>
          </w:p>
        </w:tc>
      </w:tr>
      <w:tr w:rsidR="00545FA3" w:rsidRPr="000A4829" w:rsidTr="00990FC3">
        <w:trPr>
          <w:trHeight w:val="615"/>
        </w:trPr>
        <w:tc>
          <w:tcPr>
            <w:tcW w:w="798" w:type="dxa"/>
          </w:tcPr>
          <w:p w:rsidR="00545FA3" w:rsidRPr="000A4829" w:rsidRDefault="00463248" w:rsidP="00463248">
            <w:pPr>
              <w:rPr>
                <w:rFonts w:ascii="Arial" w:hAnsi="Arial" w:cs="Arial"/>
                <w:b/>
              </w:rPr>
            </w:pPr>
            <w:r w:rsidRPr="000A4829">
              <w:rPr>
                <w:rFonts w:ascii="Arial" w:hAnsi="Arial" w:cs="Arial"/>
                <w:b/>
              </w:rPr>
              <w:lastRenderedPageBreak/>
              <w:t>9</w:t>
            </w:r>
            <w:r w:rsidR="00CD5DC5" w:rsidRPr="000A4829">
              <w:rPr>
                <w:rFonts w:ascii="Arial" w:hAnsi="Arial" w:cs="Arial"/>
                <w:b/>
              </w:rPr>
              <w:t xml:space="preserve">. </w:t>
            </w:r>
          </w:p>
        </w:tc>
        <w:tc>
          <w:tcPr>
            <w:tcW w:w="6540" w:type="dxa"/>
          </w:tcPr>
          <w:p w:rsidR="00545FA3" w:rsidRPr="000A4829" w:rsidRDefault="00545FA3" w:rsidP="00545FA3">
            <w:pPr>
              <w:rPr>
                <w:rFonts w:ascii="Arial" w:hAnsi="Arial" w:cs="Arial"/>
                <w:b/>
              </w:rPr>
            </w:pPr>
            <w:r w:rsidRPr="000A4829">
              <w:rPr>
                <w:rFonts w:ascii="Arial" w:hAnsi="Arial" w:cs="Arial"/>
                <w:b/>
              </w:rPr>
              <w:t>Any other business</w:t>
            </w:r>
          </w:p>
          <w:p w:rsidR="006E715B" w:rsidRPr="000A4829" w:rsidRDefault="006E715B" w:rsidP="00990FC3">
            <w:pPr>
              <w:tabs>
                <w:tab w:val="left" w:pos="2505"/>
              </w:tabs>
              <w:rPr>
                <w:rFonts w:ascii="Arial" w:hAnsi="Arial" w:cs="Arial"/>
              </w:rPr>
            </w:pPr>
          </w:p>
          <w:p w:rsidR="00005367" w:rsidRDefault="00005367" w:rsidP="00DF519B">
            <w:pPr>
              <w:tabs>
                <w:tab w:val="left" w:pos="2505"/>
              </w:tabs>
              <w:rPr>
                <w:rFonts w:ascii="Arial" w:hAnsi="Arial" w:cs="Arial"/>
              </w:rPr>
            </w:pPr>
            <w:r>
              <w:rPr>
                <w:rFonts w:ascii="Arial" w:hAnsi="Arial" w:cs="Arial"/>
              </w:rPr>
              <w:t xml:space="preserve">The Chief Executive said that we had been approached by community members </w:t>
            </w:r>
            <w:r w:rsidR="00701D02">
              <w:rPr>
                <w:rFonts w:ascii="Arial" w:hAnsi="Arial" w:cs="Arial"/>
              </w:rPr>
              <w:t xml:space="preserve">and elected representatives </w:t>
            </w:r>
            <w:r>
              <w:rPr>
                <w:rFonts w:ascii="Arial" w:hAnsi="Arial" w:cs="Arial"/>
              </w:rPr>
              <w:t>about the way a local charity is being run</w:t>
            </w:r>
            <w:r w:rsidR="006E715B" w:rsidRPr="000A4829">
              <w:rPr>
                <w:rFonts w:ascii="Arial" w:hAnsi="Arial" w:cs="Arial"/>
              </w:rPr>
              <w:t xml:space="preserve"> </w:t>
            </w:r>
            <w:r>
              <w:rPr>
                <w:rFonts w:ascii="Arial" w:hAnsi="Arial" w:cs="Arial"/>
              </w:rPr>
              <w:t xml:space="preserve">and the Head of Enforcement would circulate an email update on this. </w:t>
            </w:r>
          </w:p>
          <w:p w:rsidR="00005367" w:rsidRPr="000A4829" w:rsidRDefault="00005367" w:rsidP="00DF519B">
            <w:pPr>
              <w:tabs>
                <w:tab w:val="left" w:pos="2505"/>
              </w:tabs>
              <w:rPr>
                <w:rFonts w:ascii="Arial" w:hAnsi="Arial" w:cs="Arial"/>
                <w:b/>
              </w:rPr>
            </w:pPr>
          </w:p>
        </w:tc>
        <w:tc>
          <w:tcPr>
            <w:tcW w:w="1230" w:type="dxa"/>
          </w:tcPr>
          <w:p w:rsidR="00545FA3" w:rsidRDefault="00545FA3"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Default="00DE463C" w:rsidP="00913BA8">
            <w:pPr>
              <w:rPr>
                <w:rFonts w:ascii="Arial" w:hAnsi="Arial" w:cs="Arial"/>
                <w:b/>
              </w:rPr>
            </w:pPr>
          </w:p>
          <w:p w:rsidR="00DE463C" w:rsidRPr="000A4829" w:rsidRDefault="00DE463C" w:rsidP="00913BA8">
            <w:pPr>
              <w:rPr>
                <w:rFonts w:ascii="Arial" w:hAnsi="Arial" w:cs="Arial"/>
                <w:b/>
              </w:rPr>
            </w:pPr>
            <w:r>
              <w:rPr>
                <w:rFonts w:ascii="Arial" w:hAnsi="Arial" w:cs="Arial"/>
                <w:b/>
              </w:rPr>
              <w:t>LA</w:t>
            </w:r>
          </w:p>
        </w:tc>
      </w:tr>
    </w:tbl>
    <w:p w:rsidR="00913BA8" w:rsidRPr="000A4829" w:rsidRDefault="00913BA8" w:rsidP="00990FC3">
      <w:pPr>
        <w:rPr>
          <w:rFonts w:ascii="Arial" w:hAnsi="Arial" w:cs="Arial"/>
        </w:rPr>
      </w:pPr>
    </w:p>
    <w:sectPr w:rsidR="00913BA8" w:rsidRPr="000A4829" w:rsidSect="004920D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0FD" w:rsidRDefault="001B40FD" w:rsidP="00A9442D">
      <w:r>
        <w:separator/>
      </w:r>
    </w:p>
  </w:endnote>
  <w:endnote w:type="continuationSeparator" w:id="0">
    <w:p w:rsidR="001B40FD" w:rsidRDefault="001B40FD" w:rsidP="00A944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67" w:rsidRDefault="000053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1567"/>
      <w:docPartObj>
        <w:docPartGallery w:val="Page Numbers (Bottom of Page)"/>
        <w:docPartUnique/>
      </w:docPartObj>
    </w:sdtPr>
    <w:sdtContent>
      <w:p w:rsidR="00005367" w:rsidRDefault="001D0CD5">
        <w:pPr>
          <w:pStyle w:val="Footer"/>
          <w:jc w:val="center"/>
        </w:pPr>
        <w:fldSimple w:instr=" PAGE   \* MERGEFORMAT ">
          <w:r w:rsidR="009E0A9A">
            <w:rPr>
              <w:noProof/>
            </w:rPr>
            <w:t>7</w:t>
          </w:r>
        </w:fldSimple>
      </w:p>
    </w:sdtContent>
  </w:sdt>
  <w:p w:rsidR="00005367" w:rsidRDefault="000053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67" w:rsidRDefault="000053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0FD" w:rsidRDefault="001B40FD" w:rsidP="00A9442D">
      <w:r>
        <w:separator/>
      </w:r>
    </w:p>
  </w:footnote>
  <w:footnote w:type="continuationSeparator" w:id="0">
    <w:p w:rsidR="001B40FD" w:rsidRDefault="001B40FD" w:rsidP="00A94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67" w:rsidRDefault="00005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67" w:rsidRDefault="000053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67" w:rsidRDefault="000053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8610"/>
  </w:hdrShapeDefaults>
  <w:footnotePr>
    <w:footnote w:id="-1"/>
    <w:footnote w:id="0"/>
  </w:footnotePr>
  <w:endnotePr>
    <w:endnote w:id="-1"/>
    <w:endnote w:id="0"/>
  </w:endnotePr>
  <w:compat/>
  <w:rsids>
    <w:rsidRoot w:val="005A2355"/>
    <w:rsid w:val="00004F9C"/>
    <w:rsid w:val="00005367"/>
    <w:rsid w:val="00006F20"/>
    <w:rsid w:val="00016912"/>
    <w:rsid w:val="00023E91"/>
    <w:rsid w:val="000312B1"/>
    <w:rsid w:val="00035CB3"/>
    <w:rsid w:val="0006451C"/>
    <w:rsid w:val="00065384"/>
    <w:rsid w:val="00066A16"/>
    <w:rsid w:val="00071BAE"/>
    <w:rsid w:val="00082853"/>
    <w:rsid w:val="00087734"/>
    <w:rsid w:val="000A3CB2"/>
    <w:rsid w:val="000A4829"/>
    <w:rsid w:val="000A6F93"/>
    <w:rsid w:val="000B26C6"/>
    <w:rsid w:val="000B33D4"/>
    <w:rsid w:val="000C4387"/>
    <w:rsid w:val="000C44ED"/>
    <w:rsid w:val="000E4CB8"/>
    <w:rsid w:val="000E647F"/>
    <w:rsid w:val="00105894"/>
    <w:rsid w:val="00106785"/>
    <w:rsid w:val="001101D9"/>
    <w:rsid w:val="001114ED"/>
    <w:rsid w:val="00123EFF"/>
    <w:rsid w:val="00137CE7"/>
    <w:rsid w:val="00151BEB"/>
    <w:rsid w:val="00174CC8"/>
    <w:rsid w:val="001809D3"/>
    <w:rsid w:val="001867E2"/>
    <w:rsid w:val="00192CDA"/>
    <w:rsid w:val="001A7ECE"/>
    <w:rsid w:val="001B24DE"/>
    <w:rsid w:val="001B3C7C"/>
    <w:rsid w:val="001B40AF"/>
    <w:rsid w:val="001B40FD"/>
    <w:rsid w:val="001B4C2D"/>
    <w:rsid w:val="001B6288"/>
    <w:rsid w:val="001D0CD5"/>
    <w:rsid w:val="001E4702"/>
    <w:rsid w:val="001E5AA6"/>
    <w:rsid w:val="001E7B7D"/>
    <w:rsid w:val="001E7FF3"/>
    <w:rsid w:val="001F77E8"/>
    <w:rsid w:val="00242068"/>
    <w:rsid w:val="0025257D"/>
    <w:rsid w:val="00254AC5"/>
    <w:rsid w:val="00262811"/>
    <w:rsid w:val="00264C42"/>
    <w:rsid w:val="00267FCB"/>
    <w:rsid w:val="002714EA"/>
    <w:rsid w:val="00272EC3"/>
    <w:rsid w:val="00273CCD"/>
    <w:rsid w:val="00274E74"/>
    <w:rsid w:val="00277207"/>
    <w:rsid w:val="00277712"/>
    <w:rsid w:val="00284F38"/>
    <w:rsid w:val="0028691D"/>
    <w:rsid w:val="002A5C5F"/>
    <w:rsid w:val="002B417F"/>
    <w:rsid w:val="002C31E2"/>
    <w:rsid w:val="002D155E"/>
    <w:rsid w:val="002D1C65"/>
    <w:rsid w:val="002D44B7"/>
    <w:rsid w:val="002E6514"/>
    <w:rsid w:val="002F729F"/>
    <w:rsid w:val="00300B67"/>
    <w:rsid w:val="00300D69"/>
    <w:rsid w:val="00305E4E"/>
    <w:rsid w:val="003316EB"/>
    <w:rsid w:val="00332E7F"/>
    <w:rsid w:val="00345046"/>
    <w:rsid w:val="00350595"/>
    <w:rsid w:val="00350C7E"/>
    <w:rsid w:val="00352F13"/>
    <w:rsid w:val="003558C2"/>
    <w:rsid w:val="003560F2"/>
    <w:rsid w:val="00362E65"/>
    <w:rsid w:val="00363F42"/>
    <w:rsid w:val="003C061B"/>
    <w:rsid w:val="003C68AB"/>
    <w:rsid w:val="003D1463"/>
    <w:rsid w:val="003D1734"/>
    <w:rsid w:val="003D6075"/>
    <w:rsid w:val="003E1E82"/>
    <w:rsid w:val="003E5761"/>
    <w:rsid w:val="003E7BE7"/>
    <w:rsid w:val="003F5FAE"/>
    <w:rsid w:val="004026E8"/>
    <w:rsid w:val="0040609F"/>
    <w:rsid w:val="004075D5"/>
    <w:rsid w:val="004122BD"/>
    <w:rsid w:val="00417406"/>
    <w:rsid w:val="0042792B"/>
    <w:rsid w:val="0044614A"/>
    <w:rsid w:val="00457467"/>
    <w:rsid w:val="00463248"/>
    <w:rsid w:val="00473B97"/>
    <w:rsid w:val="00474B9F"/>
    <w:rsid w:val="00484CCD"/>
    <w:rsid w:val="00486F5D"/>
    <w:rsid w:val="004920D8"/>
    <w:rsid w:val="00494DC2"/>
    <w:rsid w:val="004A3643"/>
    <w:rsid w:val="004A4330"/>
    <w:rsid w:val="004A74CA"/>
    <w:rsid w:val="004B3DA4"/>
    <w:rsid w:val="004B526F"/>
    <w:rsid w:val="004E5B95"/>
    <w:rsid w:val="004F097C"/>
    <w:rsid w:val="004F1543"/>
    <w:rsid w:val="004F37C4"/>
    <w:rsid w:val="004F6239"/>
    <w:rsid w:val="00511AD7"/>
    <w:rsid w:val="005270D5"/>
    <w:rsid w:val="00541604"/>
    <w:rsid w:val="00544584"/>
    <w:rsid w:val="00545FA3"/>
    <w:rsid w:val="00554A36"/>
    <w:rsid w:val="00557C43"/>
    <w:rsid w:val="00573B05"/>
    <w:rsid w:val="005747EA"/>
    <w:rsid w:val="0058521C"/>
    <w:rsid w:val="005913A6"/>
    <w:rsid w:val="00592392"/>
    <w:rsid w:val="005928FB"/>
    <w:rsid w:val="005933D2"/>
    <w:rsid w:val="00595A52"/>
    <w:rsid w:val="005A2355"/>
    <w:rsid w:val="005B7A66"/>
    <w:rsid w:val="005C24B1"/>
    <w:rsid w:val="005C7E19"/>
    <w:rsid w:val="005D4745"/>
    <w:rsid w:val="005E33FB"/>
    <w:rsid w:val="005E750C"/>
    <w:rsid w:val="005F1FAB"/>
    <w:rsid w:val="005F7BF3"/>
    <w:rsid w:val="00602BE0"/>
    <w:rsid w:val="00602ED4"/>
    <w:rsid w:val="006362C1"/>
    <w:rsid w:val="006422BB"/>
    <w:rsid w:val="00642E5C"/>
    <w:rsid w:val="00654E75"/>
    <w:rsid w:val="0066012F"/>
    <w:rsid w:val="00662E7C"/>
    <w:rsid w:val="0067493B"/>
    <w:rsid w:val="0068062B"/>
    <w:rsid w:val="00682D73"/>
    <w:rsid w:val="00693CE5"/>
    <w:rsid w:val="00694040"/>
    <w:rsid w:val="006942F9"/>
    <w:rsid w:val="006A484A"/>
    <w:rsid w:val="006B0950"/>
    <w:rsid w:val="006B530A"/>
    <w:rsid w:val="006B5A32"/>
    <w:rsid w:val="006C0C99"/>
    <w:rsid w:val="006C5901"/>
    <w:rsid w:val="006D60E6"/>
    <w:rsid w:val="006E27CC"/>
    <w:rsid w:val="006E4570"/>
    <w:rsid w:val="006E52A6"/>
    <w:rsid w:val="006E715B"/>
    <w:rsid w:val="006F2EB2"/>
    <w:rsid w:val="006F6081"/>
    <w:rsid w:val="006F65A4"/>
    <w:rsid w:val="00701D02"/>
    <w:rsid w:val="007122AE"/>
    <w:rsid w:val="00713649"/>
    <w:rsid w:val="00720CE8"/>
    <w:rsid w:val="007309DE"/>
    <w:rsid w:val="00731D69"/>
    <w:rsid w:val="007400DD"/>
    <w:rsid w:val="00740F81"/>
    <w:rsid w:val="007417C6"/>
    <w:rsid w:val="00755DCA"/>
    <w:rsid w:val="007628DB"/>
    <w:rsid w:val="00765D2C"/>
    <w:rsid w:val="00772B6F"/>
    <w:rsid w:val="00774220"/>
    <w:rsid w:val="00781604"/>
    <w:rsid w:val="007818FF"/>
    <w:rsid w:val="0079644D"/>
    <w:rsid w:val="007A47E7"/>
    <w:rsid w:val="007C20F8"/>
    <w:rsid w:val="007C5B29"/>
    <w:rsid w:val="007C730E"/>
    <w:rsid w:val="007C7B84"/>
    <w:rsid w:val="007D45F2"/>
    <w:rsid w:val="007D66B3"/>
    <w:rsid w:val="007D73EA"/>
    <w:rsid w:val="007E37B5"/>
    <w:rsid w:val="007E4589"/>
    <w:rsid w:val="007E5FE0"/>
    <w:rsid w:val="007F3699"/>
    <w:rsid w:val="007F5C17"/>
    <w:rsid w:val="008113D8"/>
    <w:rsid w:val="00817C51"/>
    <w:rsid w:val="008248F6"/>
    <w:rsid w:val="00833A16"/>
    <w:rsid w:val="00834067"/>
    <w:rsid w:val="0084634D"/>
    <w:rsid w:val="0086199E"/>
    <w:rsid w:val="008712A0"/>
    <w:rsid w:val="00873DDF"/>
    <w:rsid w:val="00874A1F"/>
    <w:rsid w:val="00880887"/>
    <w:rsid w:val="00883C2D"/>
    <w:rsid w:val="0088680D"/>
    <w:rsid w:val="00894BD1"/>
    <w:rsid w:val="008A1E0B"/>
    <w:rsid w:val="008B5724"/>
    <w:rsid w:val="008B6C22"/>
    <w:rsid w:val="008C4A46"/>
    <w:rsid w:val="008D2724"/>
    <w:rsid w:val="008D2ADA"/>
    <w:rsid w:val="008D3A25"/>
    <w:rsid w:val="008F2DF5"/>
    <w:rsid w:val="009114C7"/>
    <w:rsid w:val="009119A2"/>
    <w:rsid w:val="00913BA8"/>
    <w:rsid w:val="009146CA"/>
    <w:rsid w:val="00916096"/>
    <w:rsid w:val="0091717A"/>
    <w:rsid w:val="00921E44"/>
    <w:rsid w:val="00922685"/>
    <w:rsid w:val="00931062"/>
    <w:rsid w:val="00950ABA"/>
    <w:rsid w:val="00954727"/>
    <w:rsid w:val="009721B7"/>
    <w:rsid w:val="00990E5A"/>
    <w:rsid w:val="00990FC3"/>
    <w:rsid w:val="009968DC"/>
    <w:rsid w:val="009A5F31"/>
    <w:rsid w:val="009A6E3D"/>
    <w:rsid w:val="009B16B9"/>
    <w:rsid w:val="009C6152"/>
    <w:rsid w:val="009D1FE6"/>
    <w:rsid w:val="009D6B43"/>
    <w:rsid w:val="009E0A9A"/>
    <w:rsid w:val="009E7949"/>
    <w:rsid w:val="00A17D42"/>
    <w:rsid w:val="00A21AA0"/>
    <w:rsid w:val="00A24131"/>
    <w:rsid w:val="00A2433D"/>
    <w:rsid w:val="00A25FA4"/>
    <w:rsid w:val="00A4096F"/>
    <w:rsid w:val="00A46848"/>
    <w:rsid w:val="00A47815"/>
    <w:rsid w:val="00A52C6C"/>
    <w:rsid w:val="00A552C4"/>
    <w:rsid w:val="00A55606"/>
    <w:rsid w:val="00A6035B"/>
    <w:rsid w:val="00A6563A"/>
    <w:rsid w:val="00A74D44"/>
    <w:rsid w:val="00A77B73"/>
    <w:rsid w:val="00A94138"/>
    <w:rsid w:val="00A9442D"/>
    <w:rsid w:val="00AA3BEF"/>
    <w:rsid w:val="00AA664B"/>
    <w:rsid w:val="00AC740D"/>
    <w:rsid w:val="00AD1FC5"/>
    <w:rsid w:val="00AD40A7"/>
    <w:rsid w:val="00AD5FB4"/>
    <w:rsid w:val="00AF6BE4"/>
    <w:rsid w:val="00AF7048"/>
    <w:rsid w:val="00B13FEA"/>
    <w:rsid w:val="00B27F37"/>
    <w:rsid w:val="00B340F0"/>
    <w:rsid w:val="00B456DF"/>
    <w:rsid w:val="00B52F89"/>
    <w:rsid w:val="00B831BA"/>
    <w:rsid w:val="00B91913"/>
    <w:rsid w:val="00BB6F89"/>
    <w:rsid w:val="00BC7447"/>
    <w:rsid w:val="00BD0794"/>
    <w:rsid w:val="00BD2267"/>
    <w:rsid w:val="00BD2311"/>
    <w:rsid w:val="00BD4805"/>
    <w:rsid w:val="00BF0CB6"/>
    <w:rsid w:val="00C03CA9"/>
    <w:rsid w:val="00C042D1"/>
    <w:rsid w:val="00C04944"/>
    <w:rsid w:val="00C102D6"/>
    <w:rsid w:val="00C110A8"/>
    <w:rsid w:val="00C173C9"/>
    <w:rsid w:val="00C179ED"/>
    <w:rsid w:val="00C17B51"/>
    <w:rsid w:val="00C2474B"/>
    <w:rsid w:val="00C34428"/>
    <w:rsid w:val="00C439CD"/>
    <w:rsid w:val="00C47021"/>
    <w:rsid w:val="00C55B7A"/>
    <w:rsid w:val="00C56667"/>
    <w:rsid w:val="00C740D2"/>
    <w:rsid w:val="00C84962"/>
    <w:rsid w:val="00C922DA"/>
    <w:rsid w:val="00C92451"/>
    <w:rsid w:val="00C93BB3"/>
    <w:rsid w:val="00CA4FF0"/>
    <w:rsid w:val="00CC1C10"/>
    <w:rsid w:val="00CC4DB8"/>
    <w:rsid w:val="00CD5DC5"/>
    <w:rsid w:val="00D04856"/>
    <w:rsid w:val="00D12053"/>
    <w:rsid w:val="00D21A25"/>
    <w:rsid w:val="00D508F4"/>
    <w:rsid w:val="00D745C0"/>
    <w:rsid w:val="00D77FC3"/>
    <w:rsid w:val="00D86E96"/>
    <w:rsid w:val="00DA02F0"/>
    <w:rsid w:val="00DA7F7E"/>
    <w:rsid w:val="00DC47CD"/>
    <w:rsid w:val="00DC5729"/>
    <w:rsid w:val="00DD105D"/>
    <w:rsid w:val="00DD1080"/>
    <w:rsid w:val="00DD1345"/>
    <w:rsid w:val="00DE463C"/>
    <w:rsid w:val="00DE6F85"/>
    <w:rsid w:val="00DF0DDC"/>
    <w:rsid w:val="00DF1DD9"/>
    <w:rsid w:val="00DF4E5E"/>
    <w:rsid w:val="00DF519B"/>
    <w:rsid w:val="00E03940"/>
    <w:rsid w:val="00E279DA"/>
    <w:rsid w:val="00E30653"/>
    <w:rsid w:val="00E30A7B"/>
    <w:rsid w:val="00E35EA8"/>
    <w:rsid w:val="00E405C5"/>
    <w:rsid w:val="00E40AAB"/>
    <w:rsid w:val="00E41ADA"/>
    <w:rsid w:val="00E54208"/>
    <w:rsid w:val="00E54FDF"/>
    <w:rsid w:val="00E61FD8"/>
    <w:rsid w:val="00E62D61"/>
    <w:rsid w:val="00E66DC0"/>
    <w:rsid w:val="00E675D3"/>
    <w:rsid w:val="00E8180D"/>
    <w:rsid w:val="00E82903"/>
    <w:rsid w:val="00E877C9"/>
    <w:rsid w:val="00E90AAE"/>
    <w:rsid w:val="00E95364"/>
    <w:rsid w:val="00EA71BC"/>
    <w:rsid w:val="00ED46D0"/>
    <w:rsid w:val="00EE2254"/>
    <w:rsid w:val="00EF21D2"/>
    <w:rsid w:val="00EF3344"/>
    <w:rsid w:val="00EF63A3"/>
    <w:rsid w:val="00EF7CA3"/>
    <w:rsid w:val="00EF7E77"/>
    <w:rsid w:val="00F444EB"/>
    <w:rsid w:val="00F45FF1"/>
    <w:rsid w:val="00F46A8E"/>
    <w:rsid w:val="00F75D74"/>
    <w:rsid w:val="00F82583"/>
    <w:rsid w:val="00F9317C"/>
    <w:rsid w:val="00FD0FE0"/>
    <w:rsid w:val="00FD2463"/>
    <w:rsid w:val="00FE05F1"/>
    <w:rsid w:val="00FE3E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355"/>
    <w:rPr>
      <w:rFonts w:ascii="Tahoma" w:hAnsi="Tahoma" w:cs="Tahoma"/>
      <w:sz w:val="16"/>
      <w:szCs w:val="16"/>
    </w:rPr>
  </w:style>
  <w:style w:type="character" w:customStyle="1" w:styleId="BalloonTextChar">
    <w:name w:val="Balloon Text Char"/>
    <w:basedOn w:val="DefaultParagraphFont"/>
    <w:link w:val="BalloonText"/>
    <w:uiPriority w:val="99"/>
    <w:semiHidden/>
    <w:rsid w:val="005A2355"/>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8D3A25"/>
    <w:rPr>
      <w:sz w:val="16"/>
      <w:szCs w:val="16"/>
    </w:rPr>
  </w:style>
  <w:style w:type="paragraph" w:styleId="CommentText">
    <w:name w:val="annotation text"/>
    <w:basedOn w:val="Normal"/>
    <w:link w:val="CommentTextChar"/>
    <w:uiPriority w:val="99"/>
    <w:semiHidden/>
    <w:unhideWhenUsed/>
    <w:rsid w:val="008D3A25"/>
    <w:rPr>
      <w:sz w:val="20"/>
      <w:szCs w:val="20"/>
    </w:rPr>
  </w:style>
  <w:style w:type="character" w:customStyle="1" w:styleId="CommentTextChar">
    <w:name w:val="Comment Text Char"/>
    <w:basedOn w:val="DefaultParagraphFont"/>
    <w:link w:val="CommentText"/>
    <w:uiPriority w:val="99"/>
    <w:semiHidden/>
    <w:rsid w:val="008D3A2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3A25"/>
    <w:rPr>
      <w:b/>
      <w:bCs/>
    </w:rPr>
  </w:style>
  <w:style w:type="character" w:customStyle="1" w:styleId="CommentSubjectChar">
    <w:name w:val="Comment Subject Char"/>
    <w:basedOn w:val="CommentTextChar"/>
    <w:link w:val="CommentSubject"/>
    <w:uiPriority w:val="99"/>
    <w:semiHidden/>
    <w:rsid w:val="008D3A25"/>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A9442D"/>
    <w:pPr>
      <w:tabs>
        <w:tab w:val="center" w:pos="4513"/>
        <w:tab w:val="right" w:pos="9026"/>
      </w:tabs>
    </w:pPr>
  </w:style>
  <w:style w:type="character" w:customStyle="1" w:styleId="HeaderChar">
    <w:name w:val="Header Char"/>
    <w:basedOn w:val="DefaultParagraphFont"/>
    <w:link w:val="Header"/>
    <w:uiPriority w:val="99"/>
    <w:rsid w:val="00A9442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442D"/>
    <w:pPr>
      <w:tabs>
        <w:tab w:val="center" w:pos="4513"/>
        <w:tab w:val="right" w:pos="9026"/>
      </w:tabs>
    </w:pPr>
  </w:style>
  <w:style w:type="character" w:customStyle="1" w:styleId="FooterChar">
    <w:name w:val="Footer Char"/>
    <w:basedOn w:val="DefaultParagraphFont"/>
    <w:link w:val="Footer"/>
    <w:uiPriority w:val="99"/>
    <w:rsid w:val="00A9442D"/>
    <w:rPr>
      <w:rFonts w:ascii="Times New Roman" w:eastAsia="Times New Roman" w:hAnsi="Times New Roman" w:cs="Times New Roman"/>
      <w:sz w:val="24"/>
      <w:szCs w:val="24"/>
      <w:lang w:eastAsia="en-GB"/>
    </w:rPr>
  </w:style>
  <w:style w:type="paragraph" w:styleId="Revision">
    <w:name w:val="Revision"/>
    <w:hidden/>
    <w:uiPriority w:val="99"/>
    <w:semiHidden/>
    <w:rsid w:val="00473B97"/>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7422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355"/>
    <w:rPr>
      <w:rFonts w:ascii="Tahoma" w:hAnsi="Tahoma" w:cs="Tahoma"/>
      <w:sz w:val="16"/>
      <w:szCs w:val="16"/>
    </w:rPr>
  </w:style>
  <w:style w:type="character" w:customStyle="1" w:styleId="BalloonTextChar">
    <w:name w:val="Balloon Text Char"/>
    <w:basedOn w:val="DefaultParagraphFont"/>
    <w:link w:val="BalloonText"/>
    <w:uiPriority w:val="99"/>
    <w:semiHidden/>
    <w:rsid w:val="005A2355"/>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8D3A25"/>
    <w:rPr>
      <w:sz w:val="16"/>
      <w:szCs w:val="16"/>
    </w:rPr>
  </w:style>
  <w:style w:type="paragraph" w:styleId="CommentText">
    <w:name w:val="annotation text"/>
    <w:basedOn w:val="Normal"/>
    <w:link w:val="CommentTextChar"/>
    <w:uiPriority w:val="99"/>
    <w:semiHidden/>
    <w:unhideWhenUsed/>
    <w:rsid w:val="008D3A25"/>
    <w:rPr>
      <w:sz w:val="20"/>
      <w:szCs w:val="20"/>
    </w:rPr>
  </w:style>
  <w:style w:type="character" w:customStyle="1" w:styleId="CommentTextChar">
    <w:name w:val="Comment Text Char"/>
    <w:basedOn w:val="DefaultParagraphFont"/>
    <w:link w:val="CommentText"/>
    <w:uiPriority w:val="99"/>
    <w:semiHidden/>
    <w:rsid w:val="008D3A2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3A25"/>
    <w:rPr>
      <w:b/>
      <w:bCs/>
    </w:rPr>
  </w:style>
  <w:style w:type="character" w:customStyle="1" w:styleId="CommentSubjectChar">
    <w:name w:val="Comment Subject Char"/>
    <w:basedOn w:val="CommentTextChar"/>
    <w:link w:val="CommentSubject"/>
    <w:uiPriority w:val="99"/>
    <w:semiHidden/>
    <w:rsid w:val="008D3A25"/>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A9442D"/>
    <w:pPr>
      <w:tabs>
        <w:tab w:val="center" w:pos="4513"/>
        <w:tab w:val="right" w:pos="9026"/>
      </w:tabs>
    </w:pPr>
  </w:style>
  <w:style w:type="character" w:customStyle="1" w:styleId="HeaderChar">
    <w:name w:val="Header Char"/>
    <w:basedOn w:val="DefaultParagraphFont"/>
    <w:link w:val="Header"/>
    <w:uiPriority w:val="99"/>
    <w:rsid w:val="00A9442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442D"/>
    <w:pPr>
      <w:tabs>
        <w:tab w:val="center" w:pos="4513"/>
        <w:tab w:val="right" w:pos="9026"/>
      </w:tabs>
    </w:pPr>
  </w:style>
  <w:style w:type="character" w:customStyle="1" w:styleId="FooterChar">
    <w:name w:val="Footer Char"/>
    <w:basedOn w:val="DefaultParagraphFont"/>
    <w:link w:val="Footer"/>
    <w:uiPriority w:val="99"/>
    <w:rsid w:val="00A9442D"/>
    <w:rPr>
      <w:rFonts w:ascii="Times New Roman" w:eastAsia="Times New Roman" w:hAnsi="Times New Roman" w:cs="Times New Roman"/>
      <w:sz w:val="24"/>
      <w:szCs w:val="24"/>
      <w:lang w:eastAsia="en-GB"/>
    </w:rPr>
  </w:style>
  <w:style w:type="paragraph" w:styleId="Revision">
    <w:name w:val="Revision"/>
    <w:hidden/>
    <w:uiPriority w:val="99"/>
    <w:semiHidden/>
    <w:rsid w:val="00473B9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76901142">
      <w:bodyDiv w:val="1"/>
      <w:marLeft w:val="0"/>
      <w:marRight w:val="0"/>
      <w:marTop w:val="0"/>
      <w:marBottom w:val="0"/>
      <w:divBdr>
        <w:top w:val="none" w:sz="0" w:space="0" w:color="auto"/>
        <w:left w:val="none" w:sz="0" w:space="0" w:color="auto"/>
        <w:bottom w:val="none" w:sz="0" w:space="0" w:color="auto"/>
        <w:right w:val="none" w:sz="0" w:space="0" w:color="auto"/>
      </w:divBdr>
      <w:divsChild>
        <w:div w:id="1671323593">
          <w:marLeft w:val="0"/>
          <w:marRight w:val="0"/>
          <w:marTop w:val="0"/>
          <w:marBottom w:val="0"/>
          <w:divBdr>
            <w:top w:val="none" w:sz="0" w:space="0" w:color="auto"/>
            <w:left w:val="none" w:sz="0" w:space="0" w:color="auto"/>
            <w:bottom w:val="none" w:sz="0" w:space="0" w:color="auto"/>
            <w:right w:val="none" w:sz="0" w:space="0" w:color="auto"/>
          </w:divBdr>
          <w:divsChild>
            <w:div w:id="1034577312">
              <w:marLeft w:val="0"/>
              <w:marRight w:val="0"/>
              <w:marTop w:val="0"/>
              <w:marBottom w:val="0"/>
              <w:divBdr>
                <w:top w:val="none" w:sz="0" w:space="0" w:color="auto"/>
                <w:left w:val="none" w:sz="0" w:space="0" w:color="auto"/>
                <w:bottom w:val="none" w:sz="0" w:space="0" w:color="auto"/>
                <w:right w:val="none" w:sz="0" w:space="0" w:color="auto"/>
              </w:divBdr>
              <w:divsChild>
                <w:div w:id="17446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8ED46-5094-4C8C-AF49-85DA0788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Office of the Scottish Charity Regulator</Company>
  <LinksUpToDate>false</LinksUpToDate>
  <CharactersWithSpaces>14101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cathcart.m</dc:creator>
  <cp:lastModifiedBy>pogorzelecj</cp:lastModifiedBy>
  <cp:revision>2</cp:revision>
  <cp:lastPrinted>2012-11-22T15:33:00Z</cp:lastPrinted>
  <dcterms:created xsi:type="dcterms:W3CDTF">2014-06-04T10:51:00Z</dcterms:created>
  <dcterms:modified xsi:type="dcterms:W3CDTF">2014-06-04T10:51:00Z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A984035</vt:lpwstr>
  </property>
  <property fmtid="{D5CDD505-2E9C-101B-9397-08002B2CF9AE}" pid="4" name="Objective-Title">
    <vt:lpwstr>(BOARD 370) 2014-02-04 Board Minutes 12 November 2013</vt:lpwstr>
  </property>
  <property fmtid="{D5CDD505-2E9C-101B-9397-08002B2CF9AE}" pid="5" name="Objective-Comment">
    <vt:lpwstr>
    </vt:lpwstr>
  </property>
  <property fmtid="{D5CDD505-2E9C-101B-9397-08002B2CF9AE}" pid="6" name="Objective-CreationStamp">
    <vt:filetime>2013-11-26T15:28:38Z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2014-01-28T10:15:54Z</vt:filetime>
  </property>
  <property fmtid="{D5CDD505-2E9C-101B-9397-08002B2CF9AE}" pid="10" name="Objective-ModificationStamp">
    <vt:filetime>2014-01-28T10:15:55Z</vt:filetime>
  </property>
  <property fmtid="{D5CDD505-2E9C-101B-9397-08002B2CF9AE}" pid="11" name="Objective-Owner">
    <vt:lpwstr>Holligan, Jane</vt:lpwstr>
  </property>
  <property fmtid="{D5CDD505-2E9C-101B-9397-08002B2CF9AE}" pid="12" name="Objective-Path">
    <vt:lpwstr>2013/11/12 Board Meeting (12 November 2013 including 11 Nov evening):</vt:lpwstr>
  </property>
  <property fmtid="{D5CDD505-2E9C-101B-9397-08002B2CF9AE}" pid="13" name="Objective-Parent">
    <vt:lpwstr>2013/11/12 Board Meeting (12 November 2013 including 11 Nov evening)</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15</vt:r8>
  </property>
  <property fmtid="{D5CDD505-2E9C-101B-9397-08002B2CF9AE}" pid="17" name="Objective-VersionComment">
    <vt:lpwstr>
    </vt:lpwstr>
  </property>
  <property fmtid="{D5CDD505-2E9C-101B-9397-08002B2CF9AE}" pid="18" name="Objective-FileNumber">
    <vt:lpwstr>SM/BRD/13-005</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Objective-Correspondence Type Flag [system]">
    <vt:lpwstr>
    </vt:lpwstr>
  </property>
  <property fmtid="{D5CDD505-2E9C-101B-9397-08002B2CF9AE}" pid="22" name="Objective-Charity Number [system]">
    <vt:lpwstr>
    </vt:lpwstr>
  </property>
  <property fmtid="{D5CDD505-2E9C-101B-9397-08002B2CF9AE}" pid="23" name="Objective-Of Historical Significance? [system]">
    <vt:lpwstr>No</vt:lpwstr>
  </property>
  <property fmtid="{D5CDD505-2E9C-101B-9397-08002B2CF9AE}" pid="24" name="Objective-Date of Effect [system]">
    <vt:lpwstr>
    </vt:lpwstr>
  </property>
  <property fmtid="{D5CDD505-2E9C-101B-9397-08002B2CF9AE}" pid="25" name="Objective-Date Application Received [system]">
    <vt:lpwstr>
    </vt:lpwstr>
  </property>
</Properties>
</file>