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0ED" w:rsidRDefault="002E70ED">
      <w:pPr>
        <w:spacing w:after="160" w:line="259" w:lineRule="auto"/>
        <w:rPr>
          <w:rFonts w:ascii="Arial" w:hAnsi="Arial" w:cs="Arial"/>
          <w:b/>
        </w:rPr>
      </w:pPr>
      <w:bookmarkStart w:id="0" w:name="_GoBack"/>
      <w:bookmarkEnd w:id="0"/>
    </w:p>
    <w:p w:rsidR="002E70ED" w:rsidRDefault="002E70ED" w:rsidP="0086381F">
      <w:pPr>
        <w:rPr>
          <w:rFonts w:ascii="Arial" w:hAnsi="Arial" w:cs="Arial"/>
          <w:b/>
        </w:rPr>
      </w:pPr>
      <w:r>
        <w:rPr>
          <w:rFonts w:ascii="Arial" w:hAnsi="Arial" w:cs="Arial"/>
          <w:b/>
        </w:rPr>
        <w:t xml:space="preserve">OSCR Casework Committee </w:t>
      </w:r>
      <w:r w:rsidR="005614C4">
        <w:rPr>
          <w:rFonts w:ascii="Arial" w:hAnsi="Arial" w:cs="Arial"/>
          <w:b/>
        </w:rPr>
        <w:t>terms of reference</w:t>
      </w:r>
    </w:p>
    <w:p w:rsidR="0086381F" w:rsidRDefault="0086381F" w:rsidP="0086381F">
      <w:pPr>
        <w:rPr>
          <w:rFonts w:ascii="Arial" w:hAnsi="Arial" w:cs="Arial"/>
          <w:b/>
        </w:rPr>
      </w:pPr>
    </w:p>
    <w:p w:rsidR="008748EA" w:rsidRDefault="008748EA" w:rsidP="0086381F">
      <w:pPr>
        <w:spacing w:after="160" w:line="259" w:lineRule="auto"/>
        <w:rPr>
          <w:rFonts w:ascii="Arial" w:eastAsiaTheme="minorHAnsi" w:hAnsi="Arial" w:cs="Arial"/>
          <w:b/>
          <w:lang w:val="en-US" w:eastAsia="en-US"/>
        </w:rPr>
      </w:pPr>
    </w:p>
    <w:p w:rsidR="0086381F" w:rsidRDefault="0086381F" w:rsidP="0086381F">
      <w:pPr>
        <w:spacing w:after="160" w:line="259" w:lineRule="auto"/>
        <w:rPr>
          <w:rFonts w:ascii="Arial" w:eastAsiaTheme="minorHAnsi" w:hAnsi="Arial" w:cs="Arial"/>
          <w:b/>
          <w:lang w:val="en-US" w:eastAsia="en-US"/>
        </w:rPr>
      </w:pPr>
      <w:r>
        <w:rPr>
          <w:rFonts w:ascii="Arial" w:eastAsiaTheme="minorHAnsi" w:hAnsi="Arial" w:cs="Arial"/>
          <w:b/>
          <w:lang w:val="en-US" w:eastAsia="en-US"/>
        </w:rPr>
        <w:t>M</w:t>
      </w:r>
      <w:r w:rsidRPr="006C0675">
        <w:rPr>
          <w:rFonts w:ascii="Arial" w:eastAsiaTheme="minorHAnsi" w:hAnsi="Arial" w:cs="Arial"/>
          <w:b/>
          <w:lang w:val="en-US" w:eastAsia="en-US"/>
        </w:rPr>
        <w:t>embership</w:t>
      </w:r>
    </w:p>
    <w:p w:rsidR="0086381F" w:rsidRDefault="0086381F" w:rsidP="0086381F">
      <w:pPr>
        <w:spacing w:after="160" w:line="259" w:lineRule="auto"/>
        <w:rPr>
          <w:rFonts w:ascii="Arial" w:hAnsi="Arial" w:cs="Arial"/>
        </w:rPr>
      </w:pPr>
      <w:r>
        <w:rPr>
          <w:rFonts w:ascii="Arial" w:hAnsi="Arial" w:cs="Arial"/>
        </w:rPr>
        <w:t>Membership will comprise:</w:t>
      </w:r>
    </w:p>
    <w:p w:rsidR="0086381F" w:rsidRPr="0090343C" w:rsidRDefault="008748EA" w:rsidP="0086381F">
      <w:pPr>
        <w:pStyle w:val="ListParagraph"/>
        <w:numPr>
          <w:ilvl w:val="0"/>
          <w:numId w:val="1"/>
        </w:numPr>
        <w:spacing w:after="160" w:line="259" w:lineRule="auto"/>
        <w:rPr>
          <w:rFonts w:ascii="Arial" w:hAnsi="Arial" w:cs="Arial"/>
        </w:rPr>
      </w:pPr>
      <w:r>
        <w:rPr>
          <w:rFonts w:ascii="Arial" w:hAnsi="Arial" w:cs="Arial"/>
        </w:rPr>
        <w:t>At least t</w:t>
      </w:r>
      <w:r w:rsidR="0086381F" w:rsidRPr="0090343C">
        <w:rPr>
          <w:rFonts w:ascii="Arial" w:hAnsi="Arial" w:cs="Arial"/>
        </w:rPr>
        <w:t>hree board members</w:t>
      </w:r>
    </w:p>
    <w:p w:rsidR="003C527A" w:rsidRDefault="0086381F" w:rsidP="0086381F">
      <w:pPr>
        <w:spacing w:after="160" w:line="259" w:lineRule="auto"/>
        <w:rPr>
          <w:rFonts w:ascii="Arial" w:hAnsi="Arial" w:cs="Arial"/>
        </w:rPr>
      </w:pPr>
      <w:r>
        <w:rPr>
          <w:rFonts w:ascii="Arial" w:hAnsi="Arial" w:cs="Arial"/>
        </w:rPr>
        <w:t xml:space="preserve">The Committee </w:t>
      </w:r>
      <w:r w:rsidR="003C527A">
        <w:rPr>
          <w:rFonts w:ascii="Arial" w:hAnsi="Arial" w:cs="Arial"/>
        </w:rPr>
        <w:t xml:space="preserve">Chair will be </w:t>
      </w:r>
      <w:r>
        <w:rPr>
          <w:rFonts w:ascii="Arial" w:hAnsi="Arial" w:cs="Arial"/>
        </w:rPr>
        <w:t>selected from among board members by the Chair of the Board.</w:t>
      </w:r>
      <w:r w:rsidR="003C527A">
        <w:rPr>
          <w:rFonts w:ascii="Arial" w:hAnsi="Arial" w:cs="Arial"/>
        </w:rPr>
        <w:t xml:space="preserve">  </w:t>
      </w:r>
    </w:p>
    <w:p w:rsidR="0086381F" w:rsidRDefault="0086381F" w:rsidP="0086381F">
      <w:pPr>
        <w:spacing w:after="160" w:line="259" w:lineRule="auto"/>
        <w:rPr>
          <w:rFonts w:ascii="Arial" w:hAnsi="Arial" w:cs="Arial"/>
        </w:rPr>
      </w:pPr>
      <w:r>
        <w:rPr>
          <w:rFonts w:ascii="Arial" w:hAnsi="Arial" w:cs="Arial"/>
        </w:rPr>
        <w:t>The Head of Regulation and Improvement will provide the Committee with a secretariat function.</w:t>
      </w:r>
    </w:p>
    <w:p w:rsidR="0086381F" w:rsidRDefault="0086381F" w:rsidP="0086381F">
      <w:pPr>
        <w:spacing w:after="160" w:line="259" w:lineRule="auto"/>
        <w:rPr>
          <w:rFonts w:ascii="Arial" w:hAnsi="Arial" w:cs="Arial"/>
        </w:rPr>
      </w:pPr>
    </w:p>
    <w:p w:rsidR="0086381F" w:rsidRPr="006C0675" w:rsidRDefault="0086381F" w:rsidP="0086381F">
      <w:pPr>
        <w:rPr>
          <w:rFonts w:ascii="Arial" w:hAnsi="Arial" w:cs="Arial"/>
          <w:b/>
        </w:rPr>
      </w:pPr>
      <w:r>
        <w:rPr>
          <w:rFonts w:ascii="Arial" w:hAnsi="Arial" w:cs="Arial"/>
          <w:b/>
        </w:rPr>
        <w:t>Responsibilities:</w:t>
      </w:r>
    </w:p>
    <w:p w:rsidR="0086381F" w:rsidRPr="006C0675" w:rsidRDefault="0086381F" w:rsidP="0086381F">
      <w:pPr>
        <w:rPr>
          <w:rFonts w:ascii="Arial" w:hAnsi="Arial" w:cs="Arial"/>
        </w:rPr>
      </w:pPr>
    </w:p>
    <w:p w:rsidR="0086381F" w:rsidRPr="006C0675" w:rsidRDefault="0086381F" w:rsidP="0086381F">
      <w:pPr>
        <w:spacing w:after="160" w:line="259" w:lineRule="auto"/>
        <w:contextualSpacing/>
        <w:rPr>
          <w:rFonts w:ascii="Arial" w:eastAsiaTheme="minorHAnsi" w:hAnsi="Arial" w:cs="Arial"/>
          <w:lang w:val="en-US" w:eastAsia="en-US"/>
        </w:rPr>
      </w:pPr>
      <w:r>
        <w:rPr>
          <w:rFonts w:ascii="Arial" w:eastAsiaTheme="minorHAnsi" w:hAnsi="Arial" w:cs="Arial"/>
          <w:lang w:val="en-US" w:eastAsia="en-US"/>
        </w:rPr>
        <w:t>The Committee’s purpose is t</w:t>
      </w:r>
      <w:r w:rsidRPr="006C0675">
        <w:rPr>
          <w:rFonts w:ascii="Arial" w:eastAsiaTheme="minorHAnsi" w:hAnsi="Arial" w:cs="Arial"/>
          <w:lang w:val="en-US" w:eastAsia="en-US"/>
        </w:rPr>
        <w:t>o provide oversight of OSCR’s case-based activity and to provide assurance to the OSCR Board about it.  In particular:</w:t>
      </w:r>
    </w:p>
    <w:p w:rsidR="0086381F" w:rsidRDefault="0086381F" w:rsidP="0086381F">
      <w:pPr>
        <w:spacing w:after="160" w:line="259" w:lineRule="auto"/>
        <w:contextualSpacing/>
        <w:rPr>
          <w:rFonts w:ascii="Arial" w:eastAsiaTheme="minorHAnsi" w:hAnsi="Arial" w:cs="Arial"/>
          <w:lang w:val="en-US" w:eastAsia="en-US"/>
        </w:rPr>
      </w:pPr>
    </w:p>
    <w:p w:rsidR="0086381F" w:rsidRPr="00C52E78" w:rsidRDefault="0086381F" w:rsidP="0086381F">
      <w:pPr>
        <w:pStyle w:val="ListParagraph"/>
        <w:numPr>
          <w:ilvl w:val="0"/>
          <w:numId w:val="2"/>
        </w:numPr>
        <w:spacing w:after="160" w:line="259" w:lineRule="auto"/>
        <w:rPr>
          <w:rFonts w:ascii="Arial" w:eastAsiaTheme="minorHAnsi" w:hAnsi="Arial" w:cs="Arial"/>
          <w:lang w:val="en-US" w:eastAsia="en-US"/>
        </w:rPr>
      </w:pPr>
      <w:r w:rsidRPr="00C52E78">
        <w:rPr>
          <w:rFonts w:ascii="Arial" w:eastAsiaTheme="minorHAnsi" w:hAnsi="Arial" w:cs="Arial"/>
          <w:lang w:val="en-US" w:eastAsia="en-US"/>
        </w:rPr>
        <w:t>To provide assurance to OSCR’s Board that OSCR’s case-based decision-making is undertaken in line with:</w:t>
      </w:r>
    </w:p>
    <w:p w:rsidR="0086381F" w:rsidRPr="006C0675" w:rsidRDefault="0086381F" w:rsidP="0086381F">
      <w:pPr>
        <w:numPr>
          <w:ilvl w:val="2"/>
          <w:numId w:val="1"/>
        </w:numPr>
        <w:spacing w:after="160" w:line="259" w:lineRule="auto"/>
        <w:contextualSpacing/>
        <w:rPr>
          <w:rFonts w:ascii="Arial" w:eastAsiaTheme="minorHAnsi" w:hAnsi="Arial" w:cs="Arial"/>
          <w:lang w:val="en-US" w:eastAsia="en-US"/>
        </w:rPr>
      </w:pPr>
      <w:r w:rsidRPr="006C0675">
        <w:rPr>
          <w:rFonts w:ascii="Arial" w:eastAsiaTheme="minorHAnsi" w:hAnsi="Arial" w:cs="Arial"/>
          <w:lang w:val="en-US" w:eastAsia="en-US"/>
        </w:rPr>
        <w:t>Charity and other applicable law</w:t>
      </w:r>
    </w:p>
    <w:p w:rsidR="0086381F" w:rsidRPr="006C0675" w:rsidRDefault="0086381F" w:rsidP="0086381F">
      <w:pPr>
        <w:numPr>
          <w:ilvl w:val="2"/>
          <w:numId w:val="1"/>
        </w:numPr>
        <w:spacing w:after="160" w:line="259" w:lineRule="auto"/>
        <w:contextualSpacing/>
        <w:rPr>
          <w:rFonts w:ascii="Arial" w:eastAsiaTheme="minorHAnsi" w:hAnsi="Arial" w:cs="Arial"/>
          <w:lang w:val="en-US" w:eastAsia="en-US"/>
        </w:rPr>
      </w:pPr>
      <w:r w:rsidRPr="006C0675">
        <w:rPr>
          <w:rFonts w:ascii="Arial" w:eastAsiaTheme="minorHAnsi" w:hAnsi="Arial" w:cs="Arial"/>
          <w:i/>
          <w:lang w:val="en-US" w:eastAsia="en-US"/>
        </w:rPr>
        <w:t>Right First Time</w:t>
      </w:r>
      <w:r w:rsidRPr="006C0675">
        <w:rPr>
          <w:rFonts w:ascii="Arial" w:eastAsiaTheme="minorHAnsi" w:hAnsi="Arial" w:cs="Arial"/>
          <w:lang w:val="en-US" w:eastAsia="en-US"/>
        </w:rPr>
        <w:t xml:space="preserve"> principles </w:t>
      </w:r>
    </w:p>
    <w:p w:rsidR="0086381F" w:rsidRDefault="0086381F" w:rsidP="0086381F">
      <w:pPr>
        <w:numPr>
          <w:ilvl w:val="2"/>
          <w:numId w:val="1"/>
        </w:numPr>
        <w:spacing w:after="160" w:line="259" w:lineRule="auto"/>
        <w:contextualSpacing/>
        <w:rPr>
          <w:rFonts w:ascii="Arial" w:eastAsiaTheme="minorHAnsi" w:hAnsi="Arial" w:cs="Arial"/>
          <w:lang w:val="en-US" w:eastAsia="en-US"/>
        </w:rPr>
      </w:pPr>
      <w:r w:rsidRPr="006C0675">
        <w:rPr>
          <w:rFonts w:ascii="Arial" w:eastAsiaTheme="minorHAnsi" w:hAnsi="Arial" w:cs="Arial"/>
          <w:lang w:val="en-US" w:eastAsia="en-US"/>
        </w:rPr>
        <w:t xml:space="preserve">OSCR’s Risk Framework, policies and published guidance </w:t>
      </w:r>
    </w:p>
    <w:p w:rsidR="0086381F" w:rsidRPr="008B0BF0" w:rsidRDefault="0086381F" w:rsidP="0086381F">
      <w:pPr>
        <w:pStyle w:val="ListParagraph"/>
        <w:numPr>
          <w:ilvl w:val="0"/>
          <w:numId w:val="2"/>
        </w:numPr>
        <w:spacing w:after="160" w:line="259" w:lineRule="auto"/>
        <w:rPr>
          <w:rFonts w:ascii="Arial" w:eastAsiaTheme="minorHAnsi" w:hAnsi="Arial" w:cs="Arial"/>
          <w:lang w:val="en-US" w:eastAsia="en-US"/>
        </w:rPr>
      </w:pPr>
      <w:r w:rsidRPr="008B0BF0">
        <w:rPr>
          <w:rFonts w:ascii="Arial" w:eastAsiaTheme="minorHAnsi" w:hAnsi="Arial" w:cs="Arial"/>
          <w:lang w:val="en-US" w:eastAsia="en-US"/>
        </w:rPr>
        <w:t xml:space="preserve">To provide assurance to the OSCR Board that OSCR’s casework, </w:t>
      </w:r>
      <w:r>
        <w:rPr>
          <w:rFonts w:ascii="Arial" w:eastAsiaTheme="minorHAnsi" w:hAnsi="Arial" w:cs="Arial"/>
          <w:lang w:val="en-US" w:eastAsia="en-US"/>
        </w:rPr>
        <w:t>r</w:t>
      </w:r>
      <w:r w:rsidRPr="008B0BF0">
        <w:rPr>
          <w:rFonts w:ascii="Arial" w:eastAsiaTheme="minorHAnsi" w:hAnsi="Arial" w:cs="Arial"/>
          <w:lang w:val="en-US" w:eastAsia="en-US"/>
        </w:rPr>
        <w:t xml:space="preserve">isk </w:t>
      </w:r>
      <w:r>
        <w:rPr>
          <w:rFonts w:ascii="Arial" w:eastAsiaTheme="minorHAnsi" w:hAnsi="Arial" w:cs="Arial"/>
          <w:lang w:val="en-US" w:eastAsia="en-US"/>
        </w:rPr>
        <w:t>a</w:t>
      </w:r>
      <w:r w:rsidRPr="008B0BF0">
        <w:rPr>
          <w:rFonts w:ascii="Arial" w:eastAsiaTheme="minorHAnsi" w:hAnsi="Arial" w:cs="Arial"/>
          <w:lang w:val="en-US" w:eastAsia="en-US"/>
        </w:rPr>
        <w:t xml:space="preserve">ssessment and </w:t>
      </w:r>
      <w:r>
        <w:rPr>
          <w:rFonts w:ascii="Arial" w:eastAsiaTheme="minorHAnsi" w:hAnsi="Arial" w:cs="Arial"/>
          <w:lang w:val="en-US" w:eastAsia="en-US"/>
        </w:rPr>
        <w:t>q</w:t>
      </w:r>
      <w:r w:rsidRPr="008B0BF0">
        <w:rPr>
          <w:rFonts w:ascii="Arial" w:eastAsiaTheme="minorHAnsi" w:hAnsi="Arial" w:cs="Arial"/>
          <w:lang w:val="en-US" w:eastAsia="en-US"/>
        </w:rPr>
        <w:t xml:space="preserve">uality </w:t>
      </w:r>
      <w:r>
        <w:rPr>
          <w:rFonts w:ascii="Arial" w:eastAsiaTheme="minorHAnsi" w:hAnsi="Arial" w:cs="Arial"/>
          <w:lang w:val="en-US" w:eastAsia="en-US"/>
        </w:rPr>
        <w:t>a</w:t>
      </w:r>
      <w:r w:rsidRPr="008B0BF0">
        <w:rPr>
          <w:rFonts w:ascii="Arial" w:eastAsiaTheme="minorHAnsi" w:hAnsi="Arial" w:cs="Arial"/>
          <w:lang w:val="en-US" w:eastAsia="en-US"/>
        </w:rPr>
        <w:t xml:space="preserve">ssurance processes are fit for purpose and being properly implemented </w:t>
      </w:r>
    </w:p>
    <w:p w:rsidR="0086381F" w:rsidRDefault="0086381F" w:rsidP="0086381F">
      <w:pPr>
        <w:numPr>
          <w:ilvl w:val="0"/>
          <w:numId w:val="1"/>
        </w:numPr>
        <w:spacing w:after="160" w:line="259" w:lineRule="auto"/>
        <w:contextualSpacing/>
        <w:rPr>
          <w:rFonts w:ascii="Arial" w:eastAsiaTheme="minorHAnsi" w:hAnsi="Arial" w:cs="Arial"/>
          <w:lang w:val="en-US" w:eastAsia="en-US"/>
        </w:rPr>
      </w:pPr>
      <w:r w:rsidRPr="004A740E">
        <w:rPr>
          <w:rFonts w:ascii="Arial" w:eastAsiaTheme="minorHAnsi" w:hAnsi="Arial" w:cs="Arial"/>
          <w:lang w:val="en-US" w:eastAsia="en-US"/>
        </w:rPr>
        <w:t xml:space="preserve">To review changes to OSCR policies and external guidance affecting case-based decision-making </w:t>
      </w:r>
    </w:p>
    <w:p w:rsidR="008748EA" w:rsidRDefault="0086381F" w:rsidP="008748EA">
      <w:pPr>
        <w:pStyle w:val="ListParagraph"/>
        <w:numPr>
          <w:ilvl w:val="0"/>
          <w:numId w:val="1"/>
        </w:numPr>
        <w:spacing w:after="160" w:line="259" w:lineRule="auto"/>
        <w:rPr>
          <w:rFonts w:ascii="Arial" w:eastAsiaTheme="minorHAnsi" w:hAnsi="Arial" w:cs="Arial"/>
          <w:lang w:val="en-US" w:eastAsia="en-US"/>
        </w:rPr>
      </w:pPr>
      <w:r w:rsidRPr="00A8485A">
        <w:rPr>
          <w:rFonts w:ascii="Arial" w:eastAsiaTheme="minorHAnsi" w:hAnsi="Arial" w:cs="Arial"/>
          <w:lang w:val="en-US" w:eastAsia="en-US"/>
        </w:rPr>
        <w:t xml:space="preserve">To oversee OSCR’s court and tribunal activity </w:t>
      </w:r>
    </w:p>
    <w:p w:rsidR="008748EA" w:rsidRDefault="008748EA" w:rsidP="008748EA">
      <w:pPr>
        <w:pStyle w:val="ListParagraph"/>
        <w:spacing w:after="160" w:line="259" w:lineRule="auto"/>
        <w:rPr>
          <w:rFonts w:ascii="Arial" w:eastAsiaTheme="minorHAnsi" w:hAnsi="Arial" w:cs="Arial"/>
          <w:lang w:val="en-US" w:eastAsia="en-US"/>
        </w:rPr>
      </w:pPr>
    </w:p>
    <w:p w:rsidR="0086381F" w:rsidRPr="00A8485A" w:rsidRDefault="0086381F" w:rsidP="008748EA">
      <w:pPr>
        <w:pStyle w:val="ListParagraph"/>
        <w:numPr>
          <w:ilvl w:val="0"/>
          <w:numId w:val="1"/>
        </w:numPr>
        <w:spacing w:after="160" w:line="259" w:lineRule="auto"/>
        <w:rPr>
          <w:rFonts w:ascii="Arial" w:eastAsiaTheme="minorHAnsi" w:hAnsi="Arial" w:cs="Arial"/>
          <w:lang w:val="en-US" w:eastAsia="en-US"/>
        </w:rPr>
      </w:pPr>
      <w:r w:rsidRPr="00A8485A">
        <w:rPr>
          <w:rFonts w:ascii="Arial" w:eastAsiaTheme="minorHAnsi" w:hAnsi="Arial" w:cs="Arial"/>
          <w:lang w:val="en-US" w:eastAsia="en-US"/>
        </w:rPr>
        <w:t xml:space="preserve">Where assurance cannot be provided in any of the areas set out above, to highlight </w:t>
      </w:r>
      <w:r w:rsidR="00A8485A">
        <w:rPr>
          <w:rFonts w:ascii="Arial" w:eastAsiaTheme="minorHAnsi" w:hAnsi="Arial" w:cs="Arial"/>
          <w:lang w:val="en-US" w:eastAsia="en-US"/>
        </w:rPr>
        <w:t xml:space="preserve">to ARAC and the Board </w:t>
      </w:r>
      <w:r w:rsidRPr="00A8485A">
        <w:rPr>
          <w:rFonts w:ascii="Arial" w:eastAsiaTheme="minorHAnsi" w:hAnsi="Arial" w:cs="Arial"/>
          <w:lang w:val="en-US" w:eastAsia="en-US"/>
        </w:rPr>
        <w:t xml:space="preserve">any </w:t>
      </w:r>
      <w:r w:rsidR="00A8485A">
        <w:rPr>
          <w:rFonts w:ascii="Arial" w:eastAsiaTheme="minorHAnsi" w:hAnsi="Arial" w:cs="Arial"/>
          <w:lang w:val="en-US" w:eastAsia="en-US"/>
        </w:rPr>
        <w:t xml:space="preserve">amendments that may be required to OSCR’s </w:t>
      </w:r>
      <w:r w:rsidRPr="00A8485A">
        <w:rPr>
          <w:rFonts w:ascii="Arial" w:eastAsiaTheme="minorHAnsi" w:hAnsi="Arial" w:cs="Arial"/>
          <w:lang w:val="en-US" w:eastAsia="en-US"/>
        </w:rPr>
        <w:t>corporate risk</w:t>
      </w:r>
      <w:r w:rsidR="00A8485A">
        <w:rPr>
          <w:rFonts w:ascii="Arial" w:eastAsiaTheme="minorHAnsi" w:hAnsi="Arial" w:cs="Arial"/>
          <w:lang w:val="en-US" w:eastAsia="en-US"/>
        </w:rPr>
        <w:t xml:space="preserve"> register</w:t>
      </w:r>
    </w:p>
    <w:p w:rsidR="0086381F" w:rsidRPr="003805F5" w:rsidRDefault="0086381F" w:rsidP="0086381F">
      <w:pPr>
        <w:spacing w:after="160" w:line="259" w:lineRule="auto"/>
        <w:ind w:left="360"/>
        <w:contextualSpacing/>
        <w:rPr>
          <w:rFonts w:ascii="Arial" w:eastAsiaTheme="minorHAnsi" w:hAnsi="Arial" w:cs="Arial"/>
          <w:b/>
          <w:lang w:val="en-US" w:eastAsia="en-US"/>
        </w:rPr>
      </w:pPr>
    </w:p>
    <w:p w:rsidR="0086381F" w:rsidRPr="004A740E" w:rsidRDefault="0086381F" w:rsidP="0086381F">
      <w:pPr>
        <w:numPr>
          <w:ilvl w:val="0"/>
          <w:numId w:val="1"/>
        </w:numPr>
        <w:spacing w:after="160" w:line="259" w:lineRule="auto"/>
        <w:contextualSpacing/>
        <w:rPr>
          <w:rFonts w:ascii="Arial" w:eastAsiaTheme="minorHAnsi" w:hAnsi="Arial" w:cs="Arial"/>
          <w:lang w:val="en-US" w:eastAsia="en-US"/>
        </w:rPr>
      </w:pPr>
      <w:r w:rsidRPr="004A740E">
        <w:rPr>
          <w:rFonts w:ascii="Arial" w:eastAsiaTheme="minorHAnsi" w:hAnsi="Arial" w:cs="Arial"/>
          <w:lang w:val="en-US" w:eastAsia="en-US"/>
        </w:rPr>
        <w:lastRenderedPageBreak/>
        <w:t xml:space="preserve">To </w:t>
      </w:r>
      <w:r>
        <w:rPr>
          <w:rFonts w:ascii="Arial" w:eastAsiaTheme="minorHAnsi" w:hAnsi="Arial" w:cs="Arial"/>
          <w:lang w:val="en-US" w:eastAsia="en-US"/>
        </w:rPr>
        <w:t>consider</w:t>
      </w:r>
      <w:r w:rsidRPr="004A740E">
        <w:rPr>
          <w:rFonts w:ascii="Arial" w:eastAsiaTheme="minorHAnsi" w:hAnsi="Arial" w:cs="Arial"/>
          <w:lang w:val="en-US" w:eastAsia="en-US"/>
        </w:rPr>
        <w:t xml:space="preserve"> </w:t>
      </w:r>
      <w:r>
        <w:rPr>
          <w:rFonts w:ascii="Arial" w:eastAsiaTheme="minorHAnsi" w:hAnsi="Arial" w:cs="Arial"/>
          <w:lang w:val="en-US" w:eastAsia="en-US"/>
        </w:rPr>
        <w:t xml:space="preserve">individual </w:t>
      </w:r>
      <w:r w:rsidRPr="004A740E">
        <w:rPr>
          <w:rFonts w:ascii="Arial" w:eastAsiaTheme="minorHAnsi" w:hAnsi="Arial" w:cs="Arial"/>
          <w:lang w:val="en-US" w:eastAsia="en-US"/>
        </w:rPr>
        <w:t xml:space="preserve">cases where OSCR Board involvement in decision-making </w:t>
      </w:r>
      <w:r>
        <w:rPr>
          <w:rFonts w:ascii="Arial" w:eastAsiaTheme="minorHAnsi" w:hAnsi="Arial" w:cs="Arial"/>
          <w:lang w:val="en-US" w:eastAsia="en-US"/>
        </w:rPr>
        <w:t>may be</w:t>
      </w:r>
      <w:r w:rsidRPr="004A740E">
        <w:rPr>
          <w:rFonts w:ascii="Arial" w:eastAsiaTheme="minorHAnsi" w:hAnsi="Arial" w:cs="Arial"/>
          <w:lang w:val="en-US" w:eastAsia="en-US"/>
        </w:rPr>
        <w:t xml:space="preserve"> necessary in furtherance of </w:t>
      </w:r>
      <w:r>
        <w:rPr>
          <w:rFonts w:ascii="Arial" w:eastAsiaTheme="minorHAnsi" w:hAnsi="Arial" w:cs="Arial"/>
          <w:lang w:val="en-US" w:eastAsia="en-US"/>
        </w:rPr>
        <w:t>OSCR’s</w:t>
      </w:r>
      <w:r w:rsidRPr="004A740E">
        <w:rPr>
          <w:rFonts w:ascii="Arial" w:eastAsiaTheme="minorHAnsi" w:hAnsi="Arial" w:cs="Arial"/>
          <w:lang w:val="en-US" w:eastAsia="en-US"/>
        </w:rPr>
        <w:t xml:space="preserve"> Scheme of Delegation</w:t>
      </w:r>
      <w:r>
        <w:rPr>
          <w:rFonts w:ascii="Arial" w:eastAsiaTheme="minorHAnsi" w:hAnsi="Arial" w:cs="Arial"/>
          <w:lang w:val="en-US" w:eastAsia="en-US"/>
        </w:rPr>
        <w:t xml:space="preserve"> (that is, </w:t>
      </w:r>
      <w:r>
        <w:rPr>
          <w:rFonts w:ascii="Arial" w:hAnsi="Arial" w:cs="Arial"/>
        </w:rPr>
        <w:t>novel or contentious cases)</w:t>
      </w:r>
      <w:r w:rsidRPr="004A740E">
        <w:rPr>
          <w:rFonts w:ascii="Arial" w:eastAsiaTheme="minorHAnsi" w:hAnsi="Arial" w:cs="Arial"/>
          <w:lang w:val="en-US" w:eastAsia="en-US"/>
        </w:rPr>
        <w:t xml:space="preserve">, and to </w:t>
      </w:r>
      <w:r>
        <w:rPr>
          <w:rFonts w:ascii="Arial" w:eastAsiaTheme="minorHAnsi" w:hAnsi="Arial" w:cs="Arial"/>
          <w:lang w:val="en-US" w:eastAsia="en-US"/>
        </w:rPr>
        <w:t>make recommendations to the Board as to how those cases should be taken forward</w:t>
      </w:r>
    </w:p>
    <w:p w:rsidR="0086381F" w:rsidRPr="006C0675" w:rsidRDefault="0086381F" w:rsidP="0086381F">
      <w:pPr>
        <w:spacing w:after="160" w:line="259" w:lineRule="auto"/>
        <w:ind w:left="720"/>
        <w:contextualSpacing/>
        <w:rPr>
          <w:rFonts w:ascii="Arial" w:eastAsiaTheme="minorHAnsi" w:hAnsi="Arial" w:cs="Arial"/>
          <w:lang w:val="en-US" w:eastAsia="en-US"/>
        </w:rPr>
      </w:pPr>
    </w:p>
    <w:p w:rsidR="0086381F" w:rsidRDefault="0086381F" w:rsidP="0086381F">
      <w:pPr>
        <w:spacing w:after="160" w:line="259" w:lineRule="auto"/>
        <w:rPr>
          <w:rFonts w:ascii="Arial" w:eastAsiaTheme="minorHAnsi" w:hAnsi="Arial" w:cs="Arial"/>
          <w:lang w:val="en-US" w:eastAsia="en-US"/>
        </w:rPr>
      </w:pPr>
    </w:p>
    <w:p w:rsidR="0086381F" w:rsidRPr="002563AE" w:rsidRDefault="0086381F" w:rsidP="0086381F">
      <w:pPr>
        <w:tabs>
          <w:tab w:val="left" w:pos="567"/>
        </w:tabs>
        <w:rPr>
          <w:rFonts w:ascii="Arial" w:hAnsi="Arial" w:cs="Arial"/>
          <w:b/>
        </w:rPr>
      </w:pPr>
      <w:r w:rsidRPr="002563AE">
        <w:rPr>
          <w:rFonts w:ascii="Arial" w:hAnsi="Arial" w:cs="Arial"/>
          <w:b/>
        </w:rPr>
        <w:t>Meetings</w:t>
      </w:r>
    </w:p>
    <w:p w:rsidR="0086381F" w:rsidRPr="002563AE" w:rsidRDefault="0086381F" w:rsidP="0086381F">
      <w:pPr>
        <w:rPr>
          <w:rFonts w:ascii="Arial" w:hAnsi="Arial" w:cs="Arial"/>
        </w:rPr>
      </w:pPr>
    </w:p>
    <w:p w:rsidR="0086381F" w:rsidRDefault="0086381F" w:rsidP="0086381F">
      <w:pPr>
        <w:spacing w:after="160" w:line="259" w:lineRule="auto"/>
        <w:rPr>
          <w:rFonts w:ascii="Arial" w:eastAsiaTheme="minorHAnsi" w:hAnsi="Arial" w:cs="Arial"/>
          <w:lang w:val="en-US" w:eastAsia="en-US"/>
        </w:rPr>
      </w:pPr>
      <w:r>
        <w:rPr>
          <w:rFonts w:ascii="Arial" w:eastAsiaTheme="minorHAnsi" w:hAnsi="Arial" w:cs="Arial"/>
          <w:lang w:val="en-US" w:eastAsia="en-US"/>
        </w:rPr>
        <w:t xml:space="preserve">The Committee will normally meet monthly (though it will need to take into account holiday periods).  </w:t>
      </w:r>
    </w:p>
    <w:p w:rsidR="0086381F" w:rsidRDefault="0086381F" w:rsidP="0086381F">
      <w:pPr>
        <w:spacing w:after="160" w:line="259" w:lineRule="auto"/>
        <w:rPr>
          <w:rFonts w:ascii="Arial" w:eastAsiaTheme="minorHAnsi" w:hAnsi="Arial" w:cs="Arial"/>
          <w:lang w:val="en-US" w:eastAsia="en-US"/>
        </w:rPr>
      </w:pPr>
      <w:r>
        <w:rPr>
          <w:rFonts w:ascii="Arial" w:eastAsiaTheme="minorHAnsi" w:hAnsi="Arial" w:cs="Arial"/>
          <w:lang w:val="en-US" w:eastAsia="en-US"/>
        </w:rPr>
        <w:t xml:space="preserve">Meetings may be conducted in person or </w:t>
      </w:r>
      <w:r w:rsidR="008748EA">
        <w:rPr>
          <w:rFonts w:ascii="Arial" w:eastAsiaTheme="minorHAnsi" w:hAnsi="Arial" w:cs="Arial"/>
          <w:lang w:val="en-US" w:eastAsia="en-US"/>
        </w:rPr>
        <w:t>online or by telephone</w:t>
      </w:r>
      <w:r w:rsidRPr="006C0675">
        <w:rPr>
          <w:rFonts w:ascii="Arial" w:eastAsiaTheme="minorHAnsi" w:hAnsi="Arial" w:cs="Arial"/>
          <w:lang w:val="en-US" w:eastAsia="en-US"/>
        </w:rPr>
        <w:t xml:space="preserve">.  </w:t>
      </w:r>
    </w:p>
    <w:p w:rsidR="0086381F" w:rsidRPr="006C0675" w:rsidRDefault="0086381F" w:rsidP="0086381F">
      <w:pPr>
        <w:spacing w:after="160" w:line="259" w:lineRule="auto"/>
        <w:rPr>
          <w:rFonts w:ascii="Arial" w:eastAsiaTheme="minorHAnsi" w:hAnsi="Arial" w:cs="Arial"/>
          <w:lang w:val="en-US" w:eastAsia="en-US"/>
        </w:rPr>
      </w:pPr>
      <w:r w:rsidRPr="006C0675">
        <w:rPr>
          <w:rFonts w:ascii="Arial" w:eastAsiaTheme="minorHAnsi" w:hAnsi="Arial" w:cs="Arial"/>
          <w:lang w:val="en-US" w:eastAsia="en-US"/>
        </w:rPr>
        <w:t xml:space="preserve">Urgent papers </w:t>
      </w:r>
      <w:r>
        <w:rPr>
          <w:rFonts w:ascii="Arial" w:eastAsiaTheme="minorHAnsi" w:hAnsi="Arial" w:cs="Arial"/>
          <w:lang w:val="en-US" w:eastAsia="en-US"/>
        </w:rPr>
        <w:t>may</w:t>
      </w:r>
      <w:r w:rsidRPr="006C0675">
        <w:rPr>
          <w:rFonts w:ascii="Arial" w:eastAsiaTheme="minorHAnsi" w:hAnsi="Arial" w:cs="Arial"/>
          <w:lang w:val="en-US" w:eastAsia="en-US"/>
        </w:rPr>
        <w:t xml:space="preserve"> be considered by email.</w:t>
      </w:r>
    </w:p>
    <w:p w:rsidR="0086381F" w:rsidRDefault="0086381F" w:rsidP="0086381F">
      <w:pPr>
        <w:tabs>
          <w:tab w:val="left" w:pos="0"/>
        </w:tabs>
        <w:rPr>
          <w:rFonts w:ascii="Arial" w:hAnsi="Arial" w:cs="Arial"/>
        </w:rPr>
      </w:pPr>
      <w:r>
        <w:rPr>
          <w:rFonts w:ascii="Arial" w:hAnsi="Arial" w:cs="Arial"/>
        </w:rPr>
        <w:t>A minimum of two members of the committee will be present for the meeting to be deemed quorate.  If any meeting is not quorate, then business discussed may be homologated at the following meeting.</w:t>
      </w:r>
    </w:p>
    <w:p w:rsidR="0086381F" w:rsidRDefault="0086381F" w:rsidP="0086381F">
      <w:pPr>
        <w:rPr>
          <w:rFonts w:ascii="Arial" w:hAnsi="Arial" w:cs="Arial"/>
        </w:rPr>
      </w:pPr>
    </w:p>
    <w:p w:rsidR="0086381F" w:rsidRDefault="0086381F" w:rsidP="0086381F">
      <w:pPr>
        <w:pStyle w:val="Default"/>
        <w:spacing w:before="5"/>
        <w:rPr>
          <w:sz w:val="23"/>
          <w:szCs w:val="23"/>
        </w:rPr>
      </w:pPr>
      <w:r>
        <w:rPr>
          <w:sz w:val="23"/>
          <w:szCs w:val="23"/>
        </w:rPr>
        <w:t>The Chair of the OSCR Board and the OSCR CEO may attend committee meetings, but will not be a members</w:t>
      </w:r>
    </w:p>
    <w:p w:rsidR="0086381F" w:rsidRPr="002563AE" w:rsidRDefault="0086381F" w:rsidP="0086381F">
      <w:pPr>
        <w:rPr>
          <w:rFonts w:ascii="Arial" w:hAnsi="Arial" w:cs="Arial"/>
        </w:rPr>
      </w:pPr>
    </w:p>
    <w:p w:rsidR="0086381F" w:rsidRPr="002563AE" w:rsidRDefault="0086381F" w:rsidP="0086381F">
      <w:pPr>
        <w:tabs>
          <w:tab w:val="left" w:pos="567"/>
        </w:tabs>
        <w:ind w:left="567" w:hanging="567"/>
        <w:rPr>
          <w:rFonts w:ascii="Arial" w:hAnsi="Arial" w:cs="Arial"/>
        </w:rPr>
      </w:pPr>
    </w:p>
    <w:p w:rsidR="0086381F" w:rsidRPr="002563AE" w:rsidRDefault="0086381F" w:rsidP="0086381F">
      <w:pPr>
        <w:tabs>
          <w:tab w:val="left" w:pos="0"/>
        </w:tabs>
        <w:rPr>
          <w:rFonts w:ascii="Arial" w:hAnsi="Arial" w:cs="Arial"/>
        </w:rPr>
      </w:pPr>
      <w:r w:rsidRPr="002563AE">
        <w:rPr>
          <w:rFonts w:ascii="Arial" w:hAnsi="Arial" w:cs="Arial"/>
        </w:rPr>
        <w:t xml:space="preserve">The Head of </w:t>
      </w:r>
      <w:r>
        <w:rPr>
          <w:rFonts w:ascii="Arial" w:hAnsi="Arial" w:cs="Arial"/>
        </w:rPr>
        <w:t xml:space="preserve">Regulation and improvement and Senior Manager, Higher Risk cases and Quality Assurance will </w:t>
      </w:r>
      <w:r w:rsidRPr="002563AE">
        <w:rPr>
          <w:rFonts w:ascii="Arial" w:hAnsi="Arial" w:cs="Arial"/>
        </w:rPr>
        <w:t>normally attend meetings</w:t>
      </w:r>
      <w:r>
        <w:rPr>
          <w:rFonts w:ascii="Arial" w:hAnsi="Arial" w:cs="Arial"/>
        </w:rPr>
        <w:t>, with the Senior Legal Advisor and other officers attending by invitation as required</w:t>
      </w:r>
      <w:r w:rsidRPr="002563AE">
        <w:rPr>
          <w:rFonts w:ascii="Arial" w:hAnsi="Arial" w:cs="Arial"/>
        </w:rPr>
        <w:t>.</w:t>
      </w:r>
      <w:r>
        <w:rPr>
          <w:rFonts w:ascii="Arial" w:hAnsi="Arial" w:cs="Arial"/>
        </w:rPr>
        <w:t xml:space="preserve">  </w:t>
      </w:r>
    </w:p>
    <w:p w:rsidR="0086381F" w:rsidRPr="002563AE" w:rsidRDefault="0086381F" w:rsidP="0086381F">
      <w:pPr>
        <w:tabs>
          <w:tab w:val="left" w:pos="567"/>
        </w:tabs>
        <w:ind w:left="567" w:hanging="567"/>
        <w:rPr>
          <w:rFonts w:ascii="Arial" w:hAnsi="Arial" w:cs="Arial"/>
        </w:rPr>
      </w:pPr>
    </w:p>
    <w:p w:rsidR="0086381F" w:rsidRPr="006C0675" w:rsidRDefault="0086381F" w:rsidP="0086381F">
      <w:pPr>
        <w:spacing w:after="160" w:line="259" w:lineRule="auto"/>
        <w:rPr>
          <w:rFonts w:ascii="Arial" w:eastAsiaTheme="minorHAnsi" w:hAnsi="Arial" w:cs="Arial"/>
          <w:lang w:val="en-US" w:eastAsia="en-US"/>
        </w:rPr>
      </w:pPr>
    </w:p>
    <w:p w:rsidR="0086381F" w:rsidRDefault="0086381F" w:rsidP="0086381F">
      <w:pPr>
        <w:spacing w:after="160" w:line="259" w:lineRule="auto"/>
        <w:rPr>
          <w:rFonts w:ascii="Arial" w:eastAsiaTheme="minorHAnsi" w:hAnsi="Arial" w:cs="Arial"/>
          <w:b/>
          <w:lang w:val="en-US" w:eastAsia="en-US"/>
        </w:rPr>
      </w:pPr>
    </w:p>
    <w:p w:rsidR="0086381F" w:rsidRDefault="0086381F" w:rsidP="0086381F">
      <w:pPr>
        <w:spacing w:after="160" w:line="259" w:lineRule="auto"/>
        <w:rPr>
          <w:rFonts w:ascii="Arial" w:eastAsiaTheme="minorHAnsi" w:hAnsi="Arial" w:cs="Arial"/>
          <w:b/>
          <w:lang w:val="en-US" w:eastAsia="en-US"/>
        </w:rPr>
      </w:pPr>
      <w:r>
        <w:rPr>
          <w:rFonts w:ascii="Arial" w:eastAsiaTheme="minorHAnsi" w:hAnsi="Arial" w:cs="Arial"/>
          <w:b/>
          <w:lang w:val="en-US" w:eastAsia="en-US"/>
        </w:rPr>
        <w:t xml:space="preserve">Reporting </w:t>
      </w:r>
    </w:p>
    <w:p w:rsidR="0086381F" w:rsidRDefault="0086381F" w:rsidP="0086381F">
      <w:pPr>
        <w:pStyle w:val="Default"/>
      </w:pPr>
    </w:p>
    <w:p w:rsidR="0086381F" w:rsidRDefault="0086381F" w:rsidP="0086381F">
      <w:pPr>
        <w:pStyle w:val="Default"/>
        <w:jc w:val="both"/>
        <w:rPr>
          <w:sz w:val="23"/>
          <w:szCs w:val="23"/>
        </w:rPr>
      </w:pPr>
      <w:r>
        <w:rPr>
          <w:sz w:val="23"/>
          <w:szCs w:val="23"/>
        </w:rPr>
        <w:t>The committee will formally report in writing to the Board after each meeting. A copy of minutes of the meeting may form the basis of the report.</w:t>
      </w:r>
    </w:p>
    <w:p w:rsidR="0086381F" w:rsidRDefault="0086381F" w:rsidP="0086381F">
      <w:pPr>
        <w:pStyle w:val="Default"/>
        <w:jc w:val="both"/>
        <w:rPr>
          <w:sz w:val="23"/>
          <w:szCs w:val="23"/>
        </w:rPr>
      </w:pPr>
    </w:p>
    <w:p w:rsidR="0086381F" w:rsidRDefault="0086381F" w:rsidP="0086381F">
      <w:pPr>
        <w:pStyle w:val="Default"/>
        <w:spacing w:before="2"/>
        <w:jc w:val="both"/>
        <w:rPr>
          <w:sz w:val="23"/>
          <w:szCs w:val="23"/>
        </w:rPr>
      </w:pPr>
      <w:r>
        <w:rPr>
          <w:sz w:val="23"/>
          <w:szCs w:val="23"/>
        </w:rPr>
        <w:t>The committee will provide the Board and Accountable Officer with an Annual</w:t>
      </w:r>
      <w:r w:rsidR="00A8485A">
        <w:rPr>
          <w:sz w:val="23"/>
          <w:szCs w:val="23"/>
        </w:rPr>
        <w:t xml:space="preserve"> </w:t>
      </w:r>
      <w:r>
        <w:rPr>
          <w:sz w:val="23"/>
          <w:szCs w:val="23"/>
        </w:rPr>
        <w:t>Report, timed to support finalisation of the accounts and the governance</w:t>
      </w:r>
      <w:r w:rsidR="00A8485A">
        <w:rPr>
          <w:sz w:val="23"/>
          <w:szCs w:val="23"/>
        </w:rPr>
        <w:t xml:space="preserve"> </w:t>
      </w:r>
      <w:r>
        <w:rPr>
          <w:sz w:val="23"/>
          <w:szCs w:val="23"/>
        </w:rPr>
        <w:t>statement, summarising its conclusions from the work it has done during the</w:t>
      </w:r>
      <w:r w:rsidR="00A8485A">
        <w:rPr>
          <w:sz w:val="23"/>
          <w:szCs w:val="23"/>
        </w:rPr>
        <w:t xml:space="preserve"> </w:t>
      </w:r>
      <w:r>
        <w:rPr>
          <w:sz w:val="23"/>
          <w:szCs w:val="23"/>
        </w:rPr>
        <w:t xml:space="preserve">year. </w:t>
      </w:r>
    </w:p>
    <w:p w:rsidR="0086381F" w:rsidRDefault="0086381F" w:rsidP="0086381F">
      <w:pPr>
        <w:pStyle w:val="Default"/>
        <w:rPr>
          <w:sz w:val="23"/>
          <w:szCs w:val="23"/>
        </w:rPr>
      </w:pPr>
    </w:p>
    <w:p w:rsidR="0086381F" w:rsidRDefault="0086381F" w:rsidP="0086381F">
      <w:pPr>
        <w:tabs>
          <w:tab w:val="left" w:pos="0"/>
        </w:tabs>
        <w:rPr>
          <w:rFonts w:ascii="Arial" w:eastAsiaTheme="minorHAnsi" w:hAnsi="Arial" w:cs="Arial"/>
          <w:lang w:val="en-US" w:eastAsia="en-US"/>
        </w:rPr>
      </w:pPr>
    </w:p>
    <w:p w:rsidR="0086381F" w:rsidRPr="002563AE" w:rsidRDefault="0086381F" w:rsidP="0086381F">
      <w:pPr>
        <w:tabs>
          <w:tab w:val="left" w:pos="0"/>
        </w:tabs>
        <w:rPr>
          <w:rFonts w:ascii="Arial" w:hAnsi="Arial" w:cs="Arial"/>
        </w:rPr>
      </w:pPr>
      <w:r>
        <w:rPr>
          <w:rFonts w:ascii="Arial" w:eastAsiaTheme="minorHAnsi" w:hAnsi="Arial" w:cs="Arial"/>
          <w:lang w:val="en-US" w:eastAsia="en-US"/>
        </w:rPr>
        <w:t>The Committee will report to the Board as required on individual cases requiring Board involvement</w:t>
      </w:r>
      <w:r w:rsidR="008748EA">
        <w:rPr>
          <w:rFonts w:ascii="Arial" w:eastAsiaTheme="minorHAnsi" w:hAnsi="Arial" w:cs="Arial"/>
          <w:lang w:val="en-US" w:eastAsia="en-US"/>
        </w:rPr>
        <w:t xml:space="preserve"> and may make recommendations as to handling of cases</w:t>
      </w:r>
      <w:r>
        <w:rPr>
          <w:rFonts w:ascii="Arial" w:eastAsiaTheme="minorHAnsi" w:hAnsi="Arial" w:cs="Arial"/>
          <w:lang w:val="en-US" w:eastAsia="en-US"/>
        </w:rPr>
        <w:t>.</w:t>
      </w:r>
    </w:p>
    <w:p w:rsidR="0086381F" w:rsidRDefault="0086381F" w:rsidP="0086381F">
      <w:pPr>
        <w:spacing w:after="160" w:line="259" w:lineRule="auto"/>
        <w:rPr>
          <w:rFonts w:ascii="Arial" w:eastAsiaTheme="minorHAnsi" w:hAnsi="Arial" w:cs="Arial"/>
          <w:b/>
          <w:lang w:val="en-US" w:eastAsia="en-US"/>
        </w:rPr>
      </w:pPr>
    </w:p>
    <w:p w:rsidR="00EB3837" w:rsidRDefault="00EB3837"/>
    <w:sectPr w:rsidR="00EB38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F78" w:rsidRDefault="00A61F78" w:rsidP="00A8485A">
      <w:r>
        <w:separator/>
      </w:r>
    </w:p>
  </w:endnote>
  <w:endnote w:type="continuationSeparator" w:id="0">
    <w:p w:rsidR="00A61F78" w:rsidRDefault="00A61F78" w:rsidP="00A84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F78" w:rsidRDefault="00A61F78" w:rsidP="00A8485A">
      <w:r>
        <w:separator/>
      </w:r>
    </w:p>
  </w:footnote>
  <w:footnote w:type="continuationSeparator" w:id="0">
    <w:p w:rsidR="00A61F78" w:rsidRDefault="00A61F78" w:rsidP="00A84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C07F5"/>
    <w:multiLevelType w:val="hybridMultilevel"/>
    <w:tmpl w:val="A8E87A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DA0203"/>
    <w:multiLevelType w:val="hybridMultilevel"/>
    <w:tmpl w:val="DA56962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060CA5"/>
    <w:multiLevelType w:val="hybridMultilevel"/>
    <w:tmpl w:val="8118EC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0A18B7"/>
    <w:multiLevelType w:val="hybridMultilevel"/>
    <w:tmpl w:val="BE405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5B42AE"/>
    <w:multiLevelType w:val="hybridMultilevel"/>
    <w:tmpl w:val="A274A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1F"/>
    <w:rsid w:val="002C11AC"/>
    <w:rsid w:val="002E70ED"/>
    <w:rsid w:val="00334393"/>
    <w:rsid w:val="003C527A"/>
    <w:rsid w:val="005614C4"/>
    <w:rsid w:val="00566CA4"/>
    <w:rsid w:val="005C2664"/>
    <w:rsid w:val="006E7709"/>
    <w:rsid w:val="00771075"/>
    <w:rsid w:val="00836E65"/>
    <w:rsid w:val="0086381F"/>
    <w:rsid w:val="008748EA"/>
    <w:rsid w:val="00952C18"/>
    <w:rsid w:val="00A61F78"/>
    <w:rsid w:val="00A8485A"/>
    <w:rsid w:val="00D947C0"/>
    <w:rsid w:val="00EB3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E901E"/>
  <w15:chartTrackingRefBased/>
  <w15:docId w15:val="{A49CD9E6-3358-48AF-8C77-E905FAE1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81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81F"/>
    <w:pPr>
      <w:ind w:left="720"/>
      <w:contextualSpacing/>
    </w:pPr>
  </w:style>
  <w:style w:type="paragraph" w:customStyle="1" w:styleId="Default">
    <w:name w:val="Default"/>
    <w:rsid w:val="0086381F"/>
    <w:pPr>
      <w:autoSpaceDE w:val="0"/>
      <w:autoSpaceDN w:val="0"/>
      <w:adjustRightInd w:val="0"/>
      <w:spacing w:after="0" w:line="240" w:lineRule="auto"/>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A848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85A"/>
    <w:rPr>
      <w:rFonts w:ascii="Segoe UI" w:eastAsia="Times New Roman" w:hAnsi="Segoe UI" w:cs="Segoe UI"/>
      <w:sz w:val="18"/>
      <w:szCs w:val="18"/>
      <w:lang w:val="en-GB" w:eastAsia="en-GB"/>
    </w:rPr>
  </w:style>
  <w:style w:type="paragraph" w:styleId="Header">
    <w:name w:val="header"/>
    <w:basedOn w:val="Normal"/>
    <w:link w:val="HeaderChar"/>
    <w:uiPriority w:val="99"/>
    <w:unhideWhenUsed/>
    <w:rsid w:val="00A8485A"/>
    <w:pPr>
      <w:tabs>
        <w:tab w:val="center" w:pos="4513"/>
        <w:tab w:val="right" w:pos="9026"/>
      </w:tabs>
    </w:pPr>
  </w:style>
  <w:style w:type="character" w:customStyle="1" w:styleId="HeaderChar">
    <w:name w:val="Header Char"/>
    <w:basedOn w:val="DefaultParagraphFont"/>
    <w:link w:val="Header"/>
    <w:uiPriority w:val="99"/>
    <w:rsid w:val="00A8485A"/>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8485A"/>
    <w:pPr>
      <w:tabs>
        <w:tab w:val="center" w:pos="4513"/>
        <w:tab w:val="right" w:pos="9026"/>
      </w:tabs>
    </w:pPr>
  </w:style>
  <w:style w:type="character" w:customStyle="1" w:styleId="FooterChar">
    <w:name w:val="Footer Char"/>
    <w:basedOn w:val="DefaultParagraphFont"/>
    <w:link w:val="Footer"/>
    <w:uiPriority w:val="99"/>
    <w:rsid w:val="00A8485A"/>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B8E402E281A4D36B430A9D124EACE51" version="1.0.0">
  <systemFields>
    <field name="Objective-Id">
      <value order="0">A1789843</value>
    </field>
    <field name="Objective-Title">
      <value order="0">(Board 684) OSCR Casework Committee Terms of Reference further revisions</value>
    </field>
    <field name="Objective-Description">
      <value order="0"/>
    </field>
    <field name="Objective-CreationStamp">
      <value order="0">2021-10-15T09:46:04Z</value>
    </field>
    <field name="Objective-IsApproved">
      <value order="0">false</value>
    </field>
    <field name="Objective-IsPublished">
      <value order="0">true</value>
    </field>
    <field name="Objective-DatePublished">
      <value order="0">2021-10-15T09:46:21Z</value>
    </field>
    <field name="Objective-ModificationStamp">
      <value order="0">2021-10-15T10:13:47Z</value>
    </field>
    <field name="Objective-Owner">
      <value order="0">Tyson2, Martin</value>
    </field>
    <field name="Objective-Path">
      <value order="0">OSCR File Plan:03 Senior Management:3.03 Board Minutes and Papers:2021/10/25 Board Meeting 25 October 2021</value>
    </field>
    <field name="Objective-Parent">
      <value order="0">2021/10/25 Board Meeting 25 October 2021</value>
    </field>
    <field name="Objective-State">
      <value order="0">Published</value>
    </field>
    <field name="Objective-VersionId">
      <value order="0">vA2493584</value>
    </field>
    <field name="Objective-Version">
      <value order="0">1.0</value>
    </field>
    <field name="Objective-VersionNumber">
      <value order="0">1</value>
    </field>
    <field name="Objective-VersionComment">
      <value order="0">First version</value>
    </field>
    <field name="Objective-FileNumber">
      <value order="0">SM/BRD/21-012</value>
    </field>
    <field name="Objective-Classification">
      <value order="0"/>
    </field>
    <field name="Objective-Caveats">
      <value order="0"/>
    </field>
  </systemFields>
  <catalogues>
    <catalogue name="Document Type Catalogue" type="type" ori="id:cA1">
      <field name="Objective-Correspondence Type Flag">
        <value order="0"/>
      </field>
      <field name="Objective-Allocated Officer">
        <value order="0"/>
      </field>
      <field name="Objective-Charity Number">
        <value order="0"/>
      </field>
      <field name="Objective-Of Historical Significance?">
        <value order="0">No</value>
      </field>
      <field name="Objective-Date of Effect">
        <value order="0"/>
      </field>
      <field name="Objective-Date Application Received">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B8E402E281A4D36B430A9D124EACE5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Tyson2</dc:creator>
  <cp:keywords/>
  <dc:description/>
  <cp:lastModifiedBy>Cameron Duncan</cp:lastModifiedBy>
  <cp:revision>4</cp:revision>
  <cp:lastPrinted>2022-06-01T11:37:00Z</cp:lastPrinted>
  <dcterms:created xsi:type="dcterms:W3CDTF">2022-07-12T15:08:00Z</dcterms:created>
  <dcterms:modified xsi:type="dcterms:W3CDTF">2022-07-12T15:10:00Z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A1789843</vt:lpwstr>
  </property>
  <property fmtid="{D5CDD505-2E9C-101B-9397-08002B2CF9AE}" pid="4" name="Objective-Title">
    <vt:lpwstr>(Board 684) OSCR Casework Committee Terms of Reference further revisions</vt:lpwstr>
  </property>
  <property fmtid="{D5CDD505-2E9C-101B-9397-08002B2CF9AE}" pid="5" name="Objective-Description">
    <vt:lpwstr/>
  </property>
  <property fmtid="{D5CDD505-2E9C-101B-9397-08002B2CF9AE}" pid="6" name="Objective-CreationStamp">
    <vt:filetime>2021-10-15T09:46:21Z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2021-10-15T09:46:21Z</vt:filetime>
  </property>
  <property fmtid="{D5CDD505-2E9C-101B-9397-08002B2CF9AE}" pid="10" name="Objective-ModificationStamp">
    <vt:filetime>2021-10-15T10:13:47Z</vt:filetime>
  </property>
  <property fmtid="{D5CDD505-2E9C-101B-9397-08002B2CF9AE}" pid="11" name="Objective-Owner">
    <vt:lpwstr>Tyson2, Martin</vt:lpwstr>
  </property>
  <property fmtid="{D5CDD505-2E9C-101B-9397-08002B2CF9AE}" pid="12" name="Objective-Path">
    <vt:lpwstr>OSCR File Plan:03 Senior Management:3.03 Board Minutes and Papers:2021/10/25 Board Meeting 25 October 2021:</vt:lpwstr>
  </property>
  <property fmtid="{D5CDD505-2E9C-101B-9397-08002B2CF9AE}" pid="13" name="Objective-Parent">
    <vt:lpwstr>2021/10/25 Board Meeting 25 October 2021</vt:lpwstr>
  </property>
  <property fmtid="{D5CDD505-2E9C-101B-9397-08002B2CF9AE}" pid="14" name="Objective-State">
    <vt:lpwstr>Published</vt:lpwstr>
  </property>
  <property fmtid="{D5CDD505-2E9C-101B-9397-08002B2CF9AE}" pid="15" name="Objective-VersionId">
    <vt:lpwstr>vA2493584</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SM/BRD/21-012</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rrespondence Type Flag">
    <vt:lpwstr/>
  </property>
  <property fmtid="{D5CDD505-2E9C-101B-9397-08002B2CF9AE}" pid="23" name="Objective-Allocated Officer">
    <vt:lpwstr/>
  </property>
  <property fmtid="{D5CDD505-2E9C-101B-9397-08002B2CF9AE}" pid="24" name="Objective-Charity Number">
    <vt:lpwstr/>
  </property>
  <property fmtid="{D5CDD505-2E9C-101B-9397-08002B2CF9AE}" pid="25" name="Objective-Of Historical Significance?">
    <vt:lpwstr>No</vt:lpwstr>
  </property>
  <property fmtid="{D5CDD505-2E9C-101B-9397-08002B2CF9AE}" pid="26" name="Objective-Date of Effect">
    <vt:lpwstr/>
  </property>
  <property fmtid="{D5CDD505-2E9C-101B-9397-08002B2CF9AE}" pid="27" name="Objective-Date Application Received">
    <vt:lpwstr/>
  </property>
  <property fmtid="{D5CDD505-2E9C-101B-9397-08002B2CF9AE}" pid="28" name="Objective-Connect Creator">
    <vt:lpwstr/>
  </property>
  <property fmtid="{D5CDD505-2E9C-101B-9397-08002B2CF9AE}" pid="29" name="Objective-Comment">
    <vt:lpwstr/>
  </property>
</Properties>
</file>